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256" w:rsidRDefault="002F025B">
      <w:pPr>
        <w:rPr>
          <w:lang w:eastAsia="zh-CN"/>
        </w:rPr>
      </w:pPr>
      <w:r>
        <w:rPr>
          <w:b/>
          <w:sz w:val="24"/>
          <w:szCs w:val="24"/>
        </w:rPr>
        <w:t>3GPP TSG-SA5 Meeting #</w:t>
      </w:r>
      <w:r w:rsidR="00E57757">
        <w:rPr>
          <w:b/>
          <w:sz w:val="24"/>
          <w:szCs w:val="24"/>
        </w:rPr>
        <w:t>152</w:t>
      </w:r>
      <w:r w:rsidR="00E57757">
        <w:rPr>
          <w:rFonts w:ascii="Arial" w:hAnsi="Arial"/>
          <w:b/>
          <w:sz w:val="24"/>
          <w:szCs w:val="24"/>
          <w:lang w:eastAsia="ja-JP"/>
        </w:rPr>
        <w:t xml:space="preserve">                                                                          </w:t>
      </w:r>
      <w:r>
        <w:rPr>
          <w:b/>
          <w:i/>
          <w:sz w:val="28"/>
          <w:szCs w:val="28"/>
        </w:rPr>
        <w:t>S5-</w:t>
      </w:r>
      <w:r w:rsidR="00E57757">
        <w:rPr>
          <w:b/>
          <w:i/>
          <w:sz w:val="28"/>
          <w:szCs w:val="28"/>
        </w:rPr>
        <w:t>237700</w:t>
      </w:r>
    </w:p>
    <w:p w:rsidR="002F1256" w:rsidRDefault="00E57757">
      <w:pPr>
        <w:rPr>
          <w:rFonts w:ascii="Arial" w:eastAsia="Batang" w:hAnsi="Arial" w:cs="Arial"/>
          <w:b/>
          <w:lang w:eastAsia="zh-CN"/>
        </w:rPr>
      </w:pPr>
      <w:r w:rsidRPr="00FC64F5">
        <w:rPr>
          <w:rFonts w:hint="eastAsia"/>
          <w:b/>
          <w:bCs/>
          <w:sz w:val="24"/>
          <w:lang w:eastAsia="zh-CN"/>
        </w:rPr>
        <w:t>Chicago</w:t>
      </w:r>
      <w:r w:rsidRPr="00FC64F5">
        <w:rPr>
          <w:b/>
          <w:bCs/>
          <w:sz w:val="24"/>
        </w:rPr>
        <w:t xml:space="preserve">, </w:t>
      </w:r>
      <w:r w:rsidRPr="00FC64F5">
        <w:rPr>
          <w:rFonts w:hint="eastAsia"/>
          <w:b/>
          <w:bCs/>
          <w:sz w:val="24"/>
          <w:lang w:eastAsia="zh-CN"/>
        </w:rPr>
        <w:t>U</w:t>
      </w:r>
      <w:r w:rsidRPr="00FC64F5">
        <w:rPr>
          <w:b/>
          <w:bCs/>
          <w:sz w:val="24"/>
          <w:lang w:eastAsia="zh-CN"/>
        </w:rPr>
        <w:t>.</w:t>
      </w:r>
      <w:r w:rsidRPr="00FC64F5">
        <w:rPr>
          <w:rFonts w:hint="eastAsia"/>
          <w:b/>
          <w:bCs/>
          <w:sz w:val="24"/>
          <w:lang w:eastAsia="zh-CN"/>
        </w:rPr>
        <w:t>S</w:t>
      </w:r>
      <w:r w:rsidRPr="00FC64F5">
        <w:rPr>
          <w:b/>
          <w:bCs/>
          <w:sz w:val="24"/>
          <w:lang w:eastAsia="zh-CN"/>
        </w:rPr>
        <w:t>.</w:t>
      </w:r>
      <w:r w:rsidRPr="00FC64F5">
        <w:rPr>
          <w:b/>
          <w:bCs/>
          <w:sz w:val="24"/>
        </w:rPr>
        <w:t>, 13 - 17 October 2023</w:t>
      </w:r>
      <w:r w:rsidR="002F025B">
        <w:tab/>
        <w:t xml:space="preserve">                                                            </w:t>
      </w:r>
      <w:r w:rsidR="002F025B">
        <w:rPr>
          <w:rFonts w:ascii="Arial" w:eastAsia="Batang" w:hAnsi="Arial" w:cs="Arial"/>
          <w:b/>
          <w:lang w:eastAsia="zh-CN"/>
        </w:rPr>
        <w:t>(revision of S5-</w:t>
      </w:r>
      <w:r>
        <w:rPr>
          <w:rFonts w:ascii="Arial" w:eastAsia="Batang" w:hAnsi="Arial" w:cs="Arial"/>
          <w:b/>
          <w:lang w:eastAsia="zh-CN"/>
        </w:rPr>
        <w:t>237236</w:t>
      </w:r>
      <w:r w:rsidR="002F025B">
        <w:rPr>
          <w:rFonts w:ascii="Arial" w:eastAsia="Batang" w:hAnsi="Arial" w:cs="Arial"/>
          <w:b/>
          <w:lang w:eastAsia="zh-CN"/>
        </w:rPr>
        <w:t>)</w:t>
      </w:r>
    </w:p>
    <w:p w:rsidR="002F1256" w:rsidRDefault="002F025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w:t>
      </w:r>
      <w:r>
        <w:rPr>
          <w:rFonts w:asciiTheme="minorEastAsia" w:hAnsiTheme="minorEastAsia" w:hint="eastAsia"/>
          <w:b/>
          <w:sz w:val="24"/>
          <w:szCs w:val="24"/>
          <w:lang w:val="en-US" w:eastAsia="zh-CN"/>
        </w:rPr>
        <w:t>ZTE</w:t>
      </w:r>
      <w:r>
        <w:rPr>
          <w:rFonts w:ascii="Arial" w:eastAsia="Batang" w:hAnsi="Arial"/>
          <w:b/>
          <w:sz w:val="24"/>
          <w:szCs w:val="24"/>
          <w:lang w:val="en-US" w:eastAsia="zh-CN"/>
        </w:rPr>
        <w:t xml:space="preserve"> Corporation (Moderator), China Unicom]</w:t>
      </w:r>
    </w:p>
    <w:p w:rsidR="002F1256" w:rsidRDefault="002F025B">
      <w:pPr>
        <w:pStyle w:val="NormalWeb"/>
        <w:spacing w:before="0" w:beforeAutospacing="0" w:after="0" w:afterAutospacing="0"/>
      </w:pPr>
      <w:r>
        <w:rPr>
          <w:rFonts w:ascii="Arial" w:eastAsia="Batang" w:hAnsi="Arial" w:cs="Arial"/>
          <w:b/>
        </w:rPr>
        <w:t>Title:</w:t>
      </w:r>
      <w:r>
        <w:rPr>
          <w:rFonts w:ascii="Arial" w:eastAsia="Batang" w:hAnsi="Arial" w:cs="Arial"/>
          <w:b/>
        </w:rPr>
        <w:tab/>
        <w:t xml:space="preserve">New SID on </w:t>
      </w:r>
      <w:r>
        <w:rPr>
          <w:rFonts w:ascii="Arial" w:hAnsi="Arial" w:cs="Arial"/>
          <w:b/>
        </w:rPr>
        <w:t>Management aspects of Integrated Sensing and Communication</w:t>
      </w:r>
    </w:p>
    <w:p w:rsidR="002F1256" w:rsidRDefault="002F1256">
      <w:pPr>
        <w:tabs>
          <w:tab w:val="left" w:pos="2127"/>
        </w:tabs>
        <w:ind w:left="2127" w:hanging="2127"/>
        <w:jc w:val="both"/>
        <w:outlineLvl w:val="0"/>
        <w:rPr>
          <w:rFonts w:ascii="Arial" w:eastAsia="Batang" w:hAnsi="Arial" w:cs="Arial"/>
          <w:b/>
          <w:sz w:val="24"/>
          <w:szCs w:val="24"/>
          <w:lang w:val="en-US" w:eastAsia="zh-CN"/>
        </w:rPr>
      </w:pPr>
    </w:p>
    <w:p w:rsidR="002F1256" w:rsidRDefault="002F025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2F1256" w:rsidRDefault="002F025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6.2.3</w:t>
      </w:r>
    </w:p>
    <w:p w:rsidR="002F1256" w:rsidRDefault="002F1256">
      <w:pPr>
        <w:rPr>
          <w:rFonts w:eastAsia="Batang"/>
          <w:lang w:val="en-US" w:eastAsia="zh-CN"/>
        </w:rPr>
      </w:pPr>
    </w:p>
    <w:p w:rsidR="002F1256" w:rsidRDefault="002F025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rsidR="002F1256" w:rsidRDefault="002F025B">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2F1256" w:rsidRDefault="002F025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Study on Management aspects of Integrated Sensing and Communication</w:t>
      </w:r>
    </w:p>
    <w:p w:rsidR="002F1256" w:rsidRDefault="002F1256">
      <w:pPr>
        <w:pStyle w:val="Guidance"/>
        <w:rPr>
          <w:rFonts w:eastAsia="Yu Mincho"/>
        </w:rPr>
      </w:pPr>
    </w:p>
    <w:p w:rsidR="002F1256" w:rsidRDefault="002F025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FS_ISCM</w:t>
      </w:r>
    </w:p>
    <w:p w:rsidR="002F1256" w:rsidRDefault="002F1256">
      <w:pPr>
        <w:pStyle w:val="Guidance"/>
      </w:pPr>
    </w:p>
    <w:p w:rsidR="002F1256" w:rsidRDefault="002F025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rsidR="002F1256" w:rsidRDefault="002F025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rsidR="002F1256" w:rsidRDefault="002F1256">
      <w:pPr>
        <w:pStyle w:val="Guidance"/>
      </w:pPr>
    </w:p>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F1256">
        <w:trPr>
          <w:cantSplit/>
          <w:jc w:val="center"/>
        </w:trPr>
        <w:tc>
          <w:tcPr>
            <w:tcW w:w="1515" w:type="dxa"/>
            <w:tcBorders>
              <w:bottom w:val="single" w:sz="12" w:space="0" w:color="auto"/>
              <w:right w:val="single" w:sz="12" w:space="0" w:color="auto"/>
            </w:tcBorders>
            <w:shd w:val="clear" w:color="auto" w:fill="E0E0E0"/>
          </w:tcPr>
          <w:p w:rsidR="002F1256" w:rsidRDefault="002F025B">
            <w:pPr>
              <w:pStyle w:val="TAH"/>
            </w:pPr>
            <w:r>
              <w:t>Affects:</w:t>
            </w:r>
          </w:p>
        </w:tc>
        <w:tc>
          <w:tcPr>
            <w:tcW w:w="1275" w:type="dxa"/>
            <w:tcBorders>
              <w:left w:val="nil"/>
              <w:bottom w:val="single" w:sz="12" w:space="0" w:color="auto"/>
            </w:tcBorders>
            <w:shd w:val="clear" w:color="auto" w:fill="E0E0E0"/>
          </w:tcPr>
          <w:p w:rsidR="002F1256" w:rsidRDefault="002F025B">
            <w:pPr>
              <w:pStyle w:val="TAH"/>
            </w:pPr>
            <w:r>
              <w:t>UICC apps</w:t>
            </w:r>
          </w:p>
        </w:tc>
        <w:tc>
          <w:tcPr>
            <w:tcW w:w="1037" w:type="dxa"/>
            <w:tcBorders>
              <w:bottom w:val="single" w:sz="12" w:space="0" w:color="auto"/>
            </w:tcBorders>
            <w:shd w:val="clear" w:color="auto" w:fill="E0E0E0"/>
          </w:tcPr>
          <w:p w:rsidR="002F1256" w:rsidRDefault="002F025B">
            <w:pPr>
              <w:pStyle w:val="TAH"/>
            </w:pPr>
            <w:r>
              <w:t>ME</w:t>
            </w:r>
          </w:p>
        </w:tc>
        <w:tc>
          <w:tcPr>
            <w:tcW w:w="850" w:type="dxa"/>
            <w:tcBorders>
              <w:bottom w:val="single" w:sz="12" w:space="0" w:color="auto"/>
            </w:tcBorders>
            <w:shd w:val="clear" w:color="auto" w:fill="E0E0E0"/>
          </w:tcPr>
          <w:p w:rsidR="002F1256" w:rsidRDefault="002F025B">
            <w:pPr>
              <w:pStyle w:val="TAH"/>
            </w:pPr>
            <w:r>
              <w:t>AN</w:t>
            </w:r>
          </w:p>
        </w:tc>
        <w:tc>
          <w:tcPr>
            <w:tcW w:w="851" w:type="dxa"/>
            <w:tcBorders>
              <w:bottom w:val="single" w:sz="12" w:space="0" w:color="auto"/>
            </w:tcBorders>
            <w:shd w:val="clear" w:color="auto" w:fill="E0E0E0"/>
          </w:tcPr>
          <w:p w:rsidR="002F1256" w:rsidRDefault="002F025B">
            <w:pPr>
              <w:pStyle w:val="TAH"/>
            </w:pPr>
            <w:r>
              <w:t>CN</w:t>
            </w:r>
          </w:p>
        </w:tc>
        <w:tc>
          <w:tcPr>
            <w:tcW w:w="1752" w:type="dxa"/>
            <w:tcBorders>
              <w:bottom w:val="single" w:sz="12" w:space="0" w:color="auto"/>
            </w:tcBorders>
            <w:shd w:val="clear" w:color="auto" w:fill="E0E0E0"/>
          </w:tcPr>
          <w:p w:rsidR="002F1256" w:rsidRDefault="002F025B">
            <w:pPr>
              <w:pStyle w:val="TAH"/>
            </w:pPr>
            <w:r>
              <w:t>Others (specify)</w:t>
            </w:r>
          </w:p>
        </w:tc>
      </w:tr>
      <w:tr w:rsidR="002F1256">
        <w:trPr>
          <w:cantSplit/>
          <w:jc w:val="center"/>
        </w:trPr>
        <w:tc>
          <w:tcPr>
            <w:tcW w:w="1515" w:type="dxa"/>
            <w:tcBorders>
              <w:top w:val="nil"/>
              <w:right w:val="single" w:sz="12" w:space="0" w:color="auto"/>
            </w:tcBorders>
          </w:tcPr>
          <w:p w:rsidR="002F1256" w:rsidRDefault="002F025B">
            <w:pPr>
              <w:pStyle w:val="TAH"/>
            </w:pPr>
            <w:r>
              <w:t>Yes</w:t>
            </w:r>
          </w:p>
        </w:tc>
        <w:tc>
          <w:tcPr>
            <w:tcW w:w="1275" w:type="dxa"/>
            <w:tcBorders>
              <w:top w:val="nil"/>
              <w:left w:val="nil"/>
            </w:tcBorders>
          </w:tcPr>
          <w:p w:rsidR="002F1256" w:rsidRDefault="002F1256">
            <w:pPr>
              <w:pStyle w:val="TAC"/>
            </w:pPr>
          </w:p>
        </w:tc>
        <w:tc>
          <w:tcPr>
            <w:tcW w:w="1037" w:type="dxa"/>
            <w:tcBorders>
              <w:top w:val="nil"/>
            </w:tcBorders>
          </w:tcPr>
          <w:p w:rsidR="002F1256" w:rsidRDefault="002F1256">
            <w:pPr>
              <w:pStyle w:val="TAC"/>
              <w:rPr>
                <w:lang w:eastAsia="zh-CN"/>
              </w:rPr>
            </w:pPr>
          </w:p>
        </w:tc>
        <w:tc>
          <w:tcPr>
            <w:tcW w:w="850" w:type="dxa"/>
            <w:tcBorders>
              <w:top w:val="nil"/>
            </w:tcBorders>
          </w:tcPr>
          <w:p w:rsidR="002F1256" w:rsidRDefault="002F025B">
            <w:pPr>
              <w:pStyle w:val="TAC"/>
              <w:rPr>
                <w:lang w:eastAsia="zh-CN"/>
              </w:rPr>
            </w:pPr>
            <w:r>
              <w:rPr>
                <w:rFonts w:hint="eastAsia"/>
                <w:lang w:eastAsia="zh-CN"/>
              </w:rPr>
              <w:t>X</w:t>
            </w:r>
          </w:p>
        </w:tc>
        <w:tc>
          <w:tcPr>
            <w:tcW w:w="851" w:type="dxa"/>
            <w:tcBorders>
              <w:top w:val="nil"/>
            </w:tcBorders>
          </w:tcPr>
          <w:p w:rsidR="002F1256" w:rsidRDefault="002F025B">
            <w:pPr>
              <w:pStyle w:val="TAC"/>
              <w:rPr>
                <w:lang w:eastAsia="zh-CN"/>
              </w:rPr>
            </w:pPr>
            <w:r>
              <w:rPr>
                <w:rFonts w:hint="eastAsia"/>
                <w:lang w:eastAsia="zh-CN"/>
              </w:rPr>
              <w:t>X</w:t>
            </w:r>
          </w:p>
        </w:tc>
        <w:tc>
          <w:tcPr>
            <w:tcW w:w="1752" w:type="dxa"/>
            <w:tcBorders>
              <w:top w:val="nil"/>
            </w:tcBorders>
          </w:tcPr>
          <w:p w:rsidR="002F1256" w:rsidRDefault="002F1256">
            <w:pPr>
              <w:pStyle w:val="TAC"/>
            </w:pPr>
          </w:p>
        </w:tc>
      </w:tr>
      <w:tr w:rsidR="002F1256">
        <w:trPr>
          <w:cantSplit/>
          <w:jc w:val="center"/>
        </w:trPr>
        <w:tc>
          <w:tcPr>
            <w:tcW w:w="1515" w:type="dxa"/>
            <w:tcBorders>
              <w:right w:val="single" w:sz="12" w:space="0" w:color="auto"/>
            </w:tcBorders>
          </w:tcPr>
          <w:p w:rsidR="002F1256" w:rsidRDefault="002F025B">
            <w:pPr>
              <w:pStyle w:val="TAH"/>
            </w:pPr>
            <w:r>
              <w:t>No</w:t>
            </w:r>
          </w:p>
        </w:tc>
        <w:tc>
          <w:tcPr>
            <w:tcW w:w="1275" w:type="dxa"/>
            <w:tcBorders>
              <w:left w:val="nil"/>
            </w:tcBorders>
          </w:tcPr>
          <w:p w:rsidR="002F1256" w:rsidRDefault="002F1256">
            <w:pPr>
              <w:pStyle w:val="TAC"/>
            </w:pPr>
          </w:p>
        </w:tc>
        <w:tc>
          <w:tcPr>
            <w:tcW w:w="1037" w:type="dxa"/>
          </w:tcPr>
          <w:p w:rsidR="002F1256" w:rsidRDefault="002F1256">
            <w:pPr>
              <w:pStyle w:val="TAC"/>
            </w:pPr>
          </w:p>
        </w:tc>
        <w:tc>
          <w:tcPr>
            <w:tcW w:w="850" w:type="dxa"/>
          </w:tcPr>
          <w:p w:rsidR="002F1256" w:rsidRDefault="002F1256">
            <w:pPr>
              <w:pStyle w:val="TAC"/>
            </w:pPr>
          </w:p>
        </w:tc>
        <w:tc>
          <w:tcPr>
            <w:tcW w:w="851" w:type="dxa"/>
          </w:tcPr>
          <w:p w:rsidR="002F1256" w:rsidRDefault="002F1256">
            <w:pPr>
              <w:pStyle w:val="TAC"/>
            </w:pPr>
          </w:p>
        </w:tc>
        <w:tc>
          <w:tcPr>
            <w:tcW w:w="1752" w:type="dxa"/>
          </w:tcPr>
          <w:p w:rsidR="002F1256" w:rsidRDefault="002F1256">
            <w:pPr>
              <w:pStyle w:val="TAC"/>
            </w:pPr>
          </w:p>
        </w:tc>
      </w:tr>
      <w:tr w:rsidR="002F1256">
        <w:trPr>
          <w:cantSplit/>
          <w:jc w:val="center"/>
        </w:trPr>
        <w:tc>
          <w:tcPr>
            <w:tcW w:w="1515" w:type="dxa"/>
            <w:tcBorders>
              <w:right w:val="single" w:sz="12" w:space="0" w:color="auto"/>
            </w:tcBorders>
          </w:tcPr>
          <w:p w:rsidR="002F1256" w:rsidRDefault="002F025B">
            <w:pPr>
              <w:pStyle w:val="TAH"/>
            </w:pPr>
            <w:r>
              <w:t>Don't know</w:t>
            </w:r>
          </w:p>
        </w:tc>
        <w:tc>
          <w:tcPr>
            <w:tcW w:w="1275" w:type="dxa"/>
            <w:tcBorders>
              <w:left w:val="nil"/>
            </w:tcBorders>
          </w:tcPr>
          <w:p w:rsidR="002F1256" w:rsidRDefault="002F025B">
            <w:pPr>
              <w:pStyle w:val="TAC"/>
              <w:rPr>
                <w:lang w:eastAsia="zh-CN"/>
              </w:rPr>
            </w:pPr>
            <w:r>
              <w:rPr>
                <w:rFonts w:hint="eastAsia"/>
                <w:lang w:eastAsia="zh-CN"/>
              </w:rPr>
              <w:t>X</w:t>
            </w:r>
          </w:p>
        </w:tc>
        <w:tc>
          <w:tcPr>
            <w:tcW w:w="1037" w:type="dxa"/>
          </w:tcPr>
          <w:p w:rsidR="002F1256" w:rsidRDefault="002F025B">
            <w:pPr>
              <w:pStyle w:val="TAC"/>
            </w:pPr>
            <w:r>
              <w:rPr>
                <w:rFonts w:hint="eastAsia"/>
                <w:lang w:eastAsia="zh-CN"/>
              </w:rPr>
              <w:t>X</w:t>
            </w:r>
          </w:p>
        </w:tc>
        <w:tc>
          <w:tcPr>
            <w:tcW w:w="850" w:type="dxa"/>
          </w:tcPr>
          <w:p w:rsidR="002F1256" w:rsidRDefault="002F1256">
            <w:pPr>
              <w:pStyle w:val="TAC"/>
            </w:pPr>
          </w:p>
        </w:tc>
        <w:tc>
          <w:tcPr>
            <w:tcW w:w="851" w:type="dxa"/>
          </w:tcPr>
          <w:p w:rsidR="002F1256" w:rsidRDefault="002F1256">
            <w:pPr>
              <w:pStyle w:val="TAC"/>
            </w:pPr>
          </w:p>
        </w:tc>
        <w:tc>
          <w:tcPr>
            <w:tcW w:w="1752" w:type="dxa"/>
          </w:tcPr>
          <w:p w:rsidR="002F1256" w:rsidRDefault="002F025B">
            <w:pPr>
              <w:pStyle w:val="TAC"/>
              <w:rPr>
                <w:lang w:eastAsia="zh-CN"/>
              </w:rPr>
            </w:pPr>
            <w:r>
              <w:rPr>
                <w:rFonts w:hint="eastAsia"/>
                <w:lang w:eastAsia="zh-CN"/>
              </w:rPr>
              <w:t>X</w:t>
            </w:r>
          </w:p>
        </w:tc>
      </w:tr>
    </w:tbl>
    <w:p w:rsidR="002F1256" w:rsidRDefault="002F1256"/>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rsidR="002F1256" w:rsidRDefault="002F025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rsidR="002F1256" w:rsidRDefault="002F025B">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F1256">
        <w:trPr>
          <w:cantSplit/>
          <w:jc w:val="center"/>
        </w:trPr>
        <w:tc>
          <w:tcPr>
            <w:tcW w:w="452" w:type="dxa"/>
          </w:tcPr>
          <w:p w:rsidR="002F1256" w:rsidRDefault="002F025B">
            <w:pPr>
              <w:pStyle w:val="TAC"/>
              <w:rPr>
                <w:lang w:eastAsia="zh-CN"/>
              </w:rPr>
            </w:pPr>
            <w:r>
              <w:rPr>
                <w:rFonts w:hint="eastAsia"/>
                <w:lang w:eastAsia="zh-CN"/>
              </w:rPr>
              <w:t>X</w:t>
            </w:r>
          </w:p>
        </w:tc>
        <w:tc>
          <w:tcPr>
            <w:tcW w:w="2917" w:type="dxa"/>
            <w:shd w:val="clear" w:color="auto" w:fill="E0E0E0"/>
          </w:tcPr>
          <w:p w:rsidR="002F1256" w:rsidRDefault="002F025B">
            <w:pPr>
              <w:pStyle w:val="TAH"/>
              <w:ind w:right="-99"/>
              <w:jc w:val="left"/>
              <w:rPr>
                <w:b w:val="0"/>
                <w:bCs/>
                <w:color w:val="0000FF"/>
              </w:rPr>
            </w:pPr>
            <w:r>
              <w:rPr>
                <w:b w:val="0"/>
                <w:bCs/>
                <w:color w:val="0000FF"/>
                <w:sz w:val="20"/>
              </w:rPr>
              <w:t xml:space="preserve">Study </w:t>
            </w:r>
          </w:p>
        </w:tc>
      </w:tr>
      <w:tr w:rsidR="002F1256">
        <w:trPr>
          <w:cantSplit/>
          <w:jc w:val="center"/>
        </w:trPr>
        <w:tc>
          <w:tcPr>
            <w:tcW w:w="452" w:type="dxa"/>
          </w:tcPr>
          <w:p w:rsidR="002F1256" w:rsidRDefault="002F1256">
            <w:pPr>
              <w:pStyle w:val="TAC"/>
            </w:pPr>
          </w:p>
        </w:tc>
        <w:tc>
          <w:tcPr>
            <w:tcW w:w="2917" w:type="dxa"/>
            <w:shd w:val="clear" w:color="auto" w:fill="E0E0E0"/>
          </w:tcPr>
          <w:p w:rsidR="002F1256" w:rsidRDefault="002F025B">
            <w:pPr>
              <w:pStyle w:val="TAH"/>
              <w:ind w:right="-99"/>
              <w:jc w:val="left"/>
              <w:rPr>
                <w:b w:val="0"/>
                <w:bCs/>
                <w:color w:val="auto"/>
              </w:rPr>
            </w:pPr>
            <w:r>
              <w:rPr>
                <w:b w:val="0"/>
                <w:bCs/>
                <w:color w:val="auto"/>
                <w:sz w:val="20"/>
              </w:rPr>
              <w:t>Normative – Stage 1</w:t>
            </w:r>
          </w:p>
        </w:tc>
      </w:tr>
      <w:tr w:rsidR="002F1256">
        <w:trPr>
          <w:cantSplit/>
          <w:jc w:val="center"/>
        </w:trPr>
        <w:tc>
          <w:tcPr>
            <w:tcW w:w="452" w:type="dxa"/>
          </w:tcPr>
          <w:p w:rsidR="002F1256" w:rsidRDefault="002F1256">
            <w:pPr>
              <w:pStyle w:val="TAC"/>
            </w:pPr>
          </w:p>
        </w:tc>
        <w:tc>
          <w:tcPr>
            <w:tcW w:w="2917" w:type="dxa"/>
            <w:shd w:val="clear" w:color="auto" w:fill="E0E0E0"/>
          </w:tcPr>
          <w:p w:rsidR="002F1256" w:rsidRDefault="002F025B">
            <w:pPr>
              <w:pStyle w:val="TAH"/>
              <w:ind w:right="-99"/>
              <w:jc w:val="left"/>
              <w:rPr>
                <w:b w:val="0"/>
                <w:bCs/>
                <w:color w:val="auto"/>
              </w:rPr>
            </w:pPr>
            <w:r>
              <w:rPr>
                <w:b w:val="0"/>
                <w:bCs/>
                <w:color w:val="auto"/>
                <w:sz w:val="20"/>
              </w:rPr>
              <w:t>Normative – Stage 2</w:t>
            </w:r>
          </w:p>
        </w:tc>
      </w:tr>
      <w:tr w:rsidR="002F1256">
        <w:trPr>
          <w:cantSplit/>
          <w:jc w:val="center"/>
        </w:trPr>
        <w:tc>
          <w:tcPr>
            <w:tcW w:w="452" w:type="dxa"/>
          </w:tcPr>
          <w:p w:rsidR="002F1256" w:rsidRDefault="002F1256">
            <w:pPr>
              <w:pStyle w:val="TAC"/>
            </w:pPr>
          </w:p>
        </w:tc>
        <w:tc>
          <w:tcPr>
            <w:tcW w:w="2917" w:type="dxa"/>
            <w:shd w:val="clear" w:color="auto" w:fill="E0E0E0"/>
          </w:tcPr>
          <w:p w:rsidR="002F1256" w:rsidRDefault="002F025B">
            <w:pPr>
              <w:pStyle w:val="TAH"/>
              <w:ind w:right="-99"/>
              <w:jc w:val="left"/>
              <w:rPr>
                <w:b w:val="0"/>
                <w:bCs/>
                <w:color w:val="auto"/>
              </w:rPr>
            </w:pPr>
            <w:r>
              <w:rPr>
                <w:b w:val="0"/>
                <w:bCs/>
                <w:color w:val="auto"/>
                <w:sz w:val="20"/>
              </w:rPr>
              <w:t>Normative – Stage 3</w:t>
            </w:r>
          </w:p>
        </w:tc>
      </w:tr>
      <w:tr w:rsidR="002F1256">
        <w:trPr>
          <w:cantSplit/>
          <w:jc w:val="center"/>
        </w:trPr>
        <w:tc>
          <w:tcPr>
            <w:tcW w:w="452" w:type="dxa"/>
          </w:tcPr>
          <w:p w:rsidR="002F1256" w:rsidRDefault="002F1256">
            <w:pPr>
              <w:pStyle w:val="TAC"/>
            </w:pPr>
          </w:p>
        </w:tc>
        <w:tc>
          <w:tcPr>
            <w:tcW w:w="2917" w:type="dxa"/>
            <w:shd w:val="clear" w:color="auto" w:fill="E0E0E0"/>
          </w:tcPr>
          <w:p w:rsidR="002F1256" w:rsidRDefault="002F025B">
            <w:pPr>
              <w:pStyle w:val="TAH"/>
              <w:ind w:right="-99"/>
              <w:jc w:val="left"/>
              <w:rPr>
                <w:b w:val="0"/>
                <w:bCs/>
                <w:color w:val="auto"/>
              </w:rPr>
            </w:pPr>
            <w:r>
              <w:rPr>
                <w:b w:val="0"/>
                <w:bCs/>
                <w:color w:val="auto"/>
                <w:sz w:val="20"/>
              </w:rPr>
              <w:t>Normative – Other*</w:t>
            </w:r>
          </w:p>
        </w:tc>
      </w:tr>
    </w:tbl>
    <w:p w:rsidR="002F1256" w:rsidRDefault="002F025B">
      <w:pPr>
        <w:ind w:right="-99"/>
        <w:rPr>
          <w:b/>
        </w:rPr>
      </w:pPr>
      <w:r>
        <w:rPr>
          <w:b/>
        </w:rPr>
        <w:t>* Other = e.g. testing</w:t>
      </w:r>
    </w:p>
    <w:p w:rsidR="002F1256" w:rsidRDefault="002F1256">
      <w:pPr>
        <w:ind w:right="-99"/>
        <w:rPr>
          <w:b/>
        </w:rPr>
      </w:pPr>
    </w:p>
    <w:p w:rsidR="002F1256" w:rsidRDefault="002F025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rsidR="002F1256" w:rsidRDefault="002F025B">
      <w:pPr>
        <w:pStyle w:val="Guidance"/>
      </w:pPr>
      <w:r>
        <w:t xml:space="preserve"> </w:t>
      </w:r>
    </w:p>
    <w:p w:rsidR="002F1256" w:rsidRDefault="002F025B">
      <w:r>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F1256">
        <w:trPr>
          <w:cantSplit/>
          <w:jc w:val="center"/>
        </w:trPr>
        <w:tc>
          <w:tcPr>
            <w:tcW w:w="9313" w:type="dxa"/>
            <w:gridSpan w:val="4"/>
            <w:shd w:val="clear" w:color="auto" w:fill="E0E0E0"/>
          </w:tcPr>
          <w:p w:rsidR="002F1256" w:rsidRDefault="002F025B">
            <w:pPr>
              <w:pStyle w:val="TAH"/>
              <w:ind w:right="-99"/>
              <w:jc w:val="left"/>
            </w:pPr>
            <w:r>
              <w:t xml:space="preserve">Parent Work / Study Items </w:t>
            </w:r>
          </w:p>
        </w:tc>
      </w:tr>
      <w:tr w:rsidR="002F1256">
        <w:trPr>
          <w:cantSplit/>
          <w:jc w:val="center"/>
        </w:trPr>
        <w:tc>
          <w:tcPr>
            <w:tcW w:w="1101" w:type="dxa"/>
            <w:shd w:val="clear" w:color="auto" w:fill="E0E0E0"/>
          </w:tcPr>
          <w:p w:rsidR="002F1256" w:rsidRDefault="002F025B">
            <w:pPr>
              <w:pStyle w:val="TAH"/>
              <w:ind w:right="-99"/>
              <w:jc w:val="left"/>
            </w:pPr>
            <w:r>
              <w:t>Acronym</w:t>
            </w:r>
          </w:p>
        </w:tc>
        <w:tc>
          <w:tcPr>
            <w:tcW w:w="1101" w:type="dxa"/>
            <w:shd w:val="clear" w:color="auto" w:fill="E0E0E0"/>
          </w:tcPr>
          <w:p w:rsidR="002F1256" w:rsidRDefault="002F025B">
            <w:pPr>
              <w:pStyle w:val="TAH"/>
              <w:ind w:right="-99"/>
              <w:jc w:val="left"/>
            </w:pPr>
            <w:r>
              <w:t>Working Group</w:t>
            </w:r>
          </w:p>
        </w:tc>
        <w:tc>
          <w:tcPr>
            <w:tcW w:w="1101" w:type="dxa"/>
            <w:shd w:val="clear" w:color="auto" w:fill="E0E0E0"/>
          </w:tcPr>
          <w:p w:rsidR="002F1256" w:rsidRDefault="002F025B">
            <w:pPr>
              <w:pStyle w:val="TAH"/>
              <w:ind w:right="-99"/>
              <w:jc w:val="left"/>
            </w:pPr>
            <w:r>
              <w:t>Unique ID</w:t>
            </w:r>
          </w:p>
        </w:tc>
        <w:tc>
          <w:tcPr>
            <w:tcW w:w="6010" w:type="dxa"/>
            <w:shd w:val="clear" w:color="auto" w:fill="E0E0E0"/>
          </w:tcPr>
          <w:p w:rsidR="002F1256" w:rsidRDefault="002F025B">
            <w:pPr>
              <w:pStyle w:val="TAH"/>
              <w:ind w:right="-99"/>
              <w:jc w:val="left"/>
            </w:pPr>
            <w:r>
              <w:t>Title (as in 3GPP Work Plan)</w:t>
            </w:r>
          </w:p>
        </w:tc>
      </w:tr>
      <w:tr w:rsidR="002F1256">
        <w:trPr>
          <w:cantSplit/>
          <w:jc w:val="center"/>
        </w:trPr>
        <w:tc>
          <w:tcPr>
            <w:tcW w:w="1101" w:type="dxa"/>
          </w:tcPr>
          <w:p w:rsidR="002F1256" w:rsidRDefault="002F1256">
            <w:pPr>
              <w:pStyle w:val="TAL"/>
            </w:pPr>
          </w:p>
        </w:tc>
        <w:tc>
          <w:tcPr>
            <w:tcW w:w="1101" w:type="dxa"/>
          </w:tcPr>
          <w:p w:rsidR="002F1256" w:rsidRDefault="002F1256">
            <w:pPr>
              <w:pStyle w:val="TAL"/>
            </w:pPr>
          </w:p>
        </w:tc>
        <w:tc>
          <w:tcPr>
            <w:tcW w:w="1101" w:type="dxa"/>
          </w:tcPr>
          <w:p w:rsidR="002F1256" w:rsidRDefault="002F1256">
            <w:pPr>
              <w:pStyle w:val="TAL"/>
            </w:pPr>
          </w:p>
        </w:tc>
        <w:tc>
          <w:tcPr>
            <w:tcW w:w="6010" w:type="dxa"/>
          </w:tcPr>
          <w:p w:rsidR="002F1256" w:rsidRDefault="002F1256">
            <w:pPr>
              <w:pStyle w:val="TAL"/>
            </w:pPr>
          </w:p>
        </w:tc>
      </w:tr>
    </w:tbl>
    <w:p w:rsidR="002F1256" w:rsidRDefault="002F1256"/>
    <w:p w:rsidR="002F1256" w:rsidRDefault="002F025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rsidR="002F1256" w:rsidRDefault="002F125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F1256">
        <w:trPr>
          <w:cantSplit/>
          <w:jc w:val="center"/>
        </w:trPr>
        <w:tc>
          <w:tcPr>
            <w:tcW w:w="9526" w:type="dxa"/>
            <w:gridSpan w:val="3"/>
            <w:shd w:val="clear" w:color="auto" w:fill="E0E0E0"/>
          </w:tcPr>
          <w:p w:rsidR="002F1256" w:rsidRDefault="002F025B">
            <w:pPr>
              <w:pStyle w:val="TAH"/>
            </w:pPr>
            <w:r>
              <w:t>Other related Work /Study Items (if any)</w:t>
            </w:r>
          </w:p>
        </w:tc>
      </w:tr>
      <w:tr w:rsidR="002F1256">
        <w:trPr>
          <w:cantSplit/>
          <w:jc w:val="center"/>
        </w:trPr>
        <w:tc>
          <w:tcPr>
            <w:tcW w:w="1101" w:type="dxa"/>
            <w:shd w:val="clear" w:color="auto" w:fill="E0E0E0"/>
          </w:tcPr>
          <w:p w:rsidR="002F1256" w:rsidRDefault="002F025B">
            <w:pPr>
              <w:pStyle w:val="TAH"/>
            </w:pPr>
            <w:r>
              <w:t>Unique ID</w:t>
            </w:r>
          </w:p>
        </w:tc>
        <w:tc>
          <w:tcPr>
            <w:tcW w:w="3326" w:type="dxa"/>
            <w:shd w:val="clear" w:color="auto" w:fill="E0E0E0"/>
          </w:tcPr>
          <w:p w:rsidR="002F1256" w:rsidRDefault="002F025B">
            <w:pPr>
              <w:pStyle w:val="TAH"/>
            </w:pPr>
            <w:r>
              <w:t>Title</w:t>
            </w:r>
          </w:p>
        </w:tc>
        <w:tc>
          <w:tcPr>
            <w:tcW w:w="5099" w:type="dxa"/>
            <w:shd w:val="clear" w:color="auto" w:fill="E0E0E0"/>
          </w:tcPr>
          <w:p w:rsidR="002F1256" w:rsidRDefault="002F025B">
            <w:pPr>
              <w:pStyle w:val="TAH"/>
            </w:pPr>
            <w:r>
              <w:t>Nature of relationship</w:t>
            </w:r>
          </w:p>
        </w:tc>
      </w:tr>
      <w:tr w:rsidR="002F1256">
        <w:trPr>
          <w:cantSplit/>
          <w:jc w:val="center"/>
        </w:trPr>
        <w:tc>
          <w:tcPr>
            <w:tcW w:w="1101" w:type="dxa"/>
          </w:tcPr>
          <w:p w:rsidR="002F1256" w:rsidRDefault="002F025B">
            <w:pPr>
              <w:pStyle w:val="TAL"/>
              <w:rPr>
                <w:lang w:eastAsia="zh-CN"/>
              </w:rPr>
            </w:pPr>
            <w:r>
              <w:rPr>
                <w:rFonts w:hint="eastAsia"/>
                <w:lang w:eastAsia="zh-CN"/>
              </w:rPr>
              <w:t>9</w:t>
            </w:r>
            <w:r>
              <w:rPr>
                <w:lang w:eastAsia="zh-CN"/>
              </w:rPr>
              <w:t>50003</w:t>
            </w:r>
          </w:p>
        </w:tc>
        <w:tc>
          <w:tcPr>
            <w:tcW w:w="3326" w:type="dxa"/>
          </w:tcPr>
          <w:p w:rsidR="002F1256" w:rsidRDefault="002F025B">
            <w:pPr>
              <w:pStyle w:val="TAL"/>
            </w:pPr>
            <w:r>
              <w:t>Feasibility Study on Integrated Sensing and Communication</w:t>
            </w:r>
          </w:p>
        </w:tc>
        <w:tc>
          <w:tcPr>
            <w:tcW w:w="5099" w:type="dxa"/>
          </w:tcPr>
          <w:p w:rsidR="002F1256" w:rsidRDefault="002F025B">
            <w:r>
              <w:t>The Rel-19 study in SA1 to describe use cases scenarios and service requirements of Integrated Sensing and Communication services</w:t>
            </w:r>
          </w:p>
        </w:tc>
      </w:tr>
      <w:tr w:rsidR="002F1256">
        <w:trPr>
          <w:cantSplit/>
          <w:jc w:val="center"/>
        </w:trPr>
        <w:tc>
          <w:tcPr>
            <w:tcW w:w="1101" w:type="dxa"/>
          </w:tcPr>
          <w:p w:rsidR="002F1256" w:rsidRDefault="002F025B">
            <w:pPr>
              <w:pStyle w:val="TAL"/>
              <w:rPr>
                <w:lang w:eastAsia="zh-CN"/>
              </w:rPr>
            </w:pPr>
            <w:r>
              <w:rPr>
                <w:lang w:eastAsia="zh-CN"/>
              </w:rPr>
              <w:t>1000026</w:t>
            </w:r>
          </w:p>
        </w:tc>
        <w:tc>
          <w:tcPr>
            <w:tcW w:w="3326" w:type="dxa"/>
          </w:tcPr>
          <w:p w:rsidR="002F1256" w:rsidRDefault="002F025B">
            <w:pPr>
              <w:pStyle w:val="TAL"/>
            </w:pPr>
            <w:r>
              <w:t>Integrated Sensing and Communication</w:t>
            </w:r>
          </w:p>
        </w:tc>
        <w:tc>
          <w:tcPr>
            <w:tcW w:w="5099" w:type="dxa"/>
          </w:tcPr>
          <w:p w:rsidR="002F1256" w:rsidRDefault="002F025B">
            <w:pPr>
              <w:pStyle w:val="Guidance"/>
              <w:rPr>
                <w:i w:val="0"/>
              </w:rPr>
            </w:pPr>
            <w:r>
              <w:rPr>
                <w:i w:val="0"/>
              </w:rPr>
              <w:t>The Rel-19 work item in SA1 normative work on service requirements of Integrated Sensing and Communication services</w:t>
            </w:r>
          </w:p>
        </w:tc>
      </w:tr>
      <w:tr w:rsidR="002F1256">
        <w:trPr>
          <w:cantSplit/>
          <w:jc w:val="center"/>
        </w:trPr>
        <w:tc>
          <w:tcPr>
            <w:tcW w:w="1101" w:type="dxa"/>
          </w:tcPr>
          <w:p w:rsidR="002F1256" w:rsidRDefault="002F025B">
            <w:pPr>
              <w:pStyle w:val="TAL"/>
              <w:rPr>
                <w:lang w:eastAsia="zh-CN"/>
              </w:rPr>
            </w:pPr>
            <w:r>
              <w:rPr>
                <w:rFonts w:hint="eastAsia"/>
                <w:lang w:eastAsia="zh-CN"/>
              </w:rPr>
              <w:t>t</w:t>
            </w:r>
            <w:r>
              <w:rPr>
                <w:lang w:eastAsia="zh-CN"/>
              </w:rPr>
              <w:t>bd</w:t>
            </w:r>
          </w:p>
        </w:tc>
        <w:tc>
          <w:tcPr>
            <w:tcW w:w="3326" w:type="dxa"/>
          </w:tcPr>
          <w:p w:rsidR="002F1256" w:rsidRDefault="002F025B">
            <w:pPr>
              <w:pStyle w:val="TAL"/>
            </w:pPr>
            <w:r>
              <w:t>Study on Architecture Enhancement to support Integrated Sensing and Communication</w:t>
            </w:r>
          </w:p>
        </w:tc>
        <w:tc>
          <w:tcPr>
            <w:tcW w:w="5099" w:type="dxa"/>
          </w:tcPr>
          <w:p w:rsidR="002F1256" w:rsidRDefault="002F025B">
            <w:pPr>
              <w:pStyle w:val="Guidance"/>
              <w:rPr>
                <w:i w:val="0"/>
              </w:rPr>
            </w:pPr>
            <w:r>
              <w:rPr>
                <w:i w:val="0"/>
              </w:rPr>
              <w:t>The Rel-19 study in SA2 studies: Study the overall architectural and functional enhancements to support Integrated Sensing and Communication service</w:t>
            </w:r>
          </w:p>
        </w:tc>
      </w:tr>
      <w:tr w:rsidR="002F1256">
        <w:trPr>
          <w:cantSplit/>
          <w:jc w:val="center"/>
        </w:trPr>
        <w:tc>
          <w:tcPr>
            <w:tcW w:w="1101" w:type="dxa"/>
          </w:tcPr>
          <w:p w:rsidR="002F1256" w:rsidRDefault="002F1256">
            <w:pPr>
              <w:pStyle w:val="TAL"/>
              <w:rPr>
                <w:lang w:eastAsia="zh-CN"/>
              </w:rPr>
            </w:pPr>
          </w:p>
        </w:tc>
        <w:tc>
          <w:tcPr>
            <w:tcW w:w="3326" w:type="dxa"/>
          </w:tcPr>
          <w:p w:rsidR="002F1256" w:rsidRDefault="002F1256">
            <w:pPr>
              <w:pStyle w:val="TAL"/>
            </w:pPr>
          </w:p>
        </w:tc>
        <w:tc>
          <w:tcPr>
            <w:tcW w:w="5099" w:type="dxa"/>
          </w:tcPr>
          <w:p w:rsidR="002F1256" w:rsidRDefault="002F1256">
            <w:pPr>
              <w:pStyle w:val="Guidance"/>
              <w:rPr>
                <w:i w:val="0"/>
              </w:rPr>
            </w:pPr>
          </w:p>
        </w:tc>
      </w:tr>
    </w:tbl>
    <w:p w:rsidR="002F1256" w:rsidRDefault="002F1256">
      <w:pPr>
        <w:pStyle w:val="FP"/>
      </w:pPr>
    </w:p>
    <w:p w:rsidR="002F1256" w:rsidRDefault="002F1256">
      <w:pPr>
        <w:pStyle w:val="FP"/>
      </w:pPr>
    </w:p>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rsidR="002F1256" w:rsidRDefault="002F025B">
      <w:pPr>
        <w:rPr>
          <w:lang w:val="en-US"/>
        </w:rPr>
      </w:pPr>
      <w:r>
        <w:rPr>
          <w:lang w:val="en-US"/>
        </w:rPr>
        <w:t>The deep integration of information technology, mobile communication technology, artificial intelligence and big data technology is driving the rapid development of 5G technology and services. More and more technology and services are widely penetrating into personal applications and vertical application. These emerging services have made the integration of sensing and communication one of the leading trends in future wireless communication technologies and services.</w:t>
      </w:r>
    </w:p>
    <w:p w:rsidR="002F1256" w:rsidRDefault="002F1256">
      <w:pPr>
        <w:rPr>
          <w:lang w:val="en-US"/>
        </w:rPr>
      </w:pPr>
    </w:p>
    <w:p w:rsidR="002F1256" w:rsidRDefault="002F025B">
      <w:pPr>
        <w:rPr>
          <w:lang w:val="en-US"/>
        </w:rPr>
      </w:pPr>
      <w:r>
        <w:rPr>
          <w:lang w:val="en-US"/>
        </w:rPr>
        <w:t>Integrated Sensing and Communication (ISAC) use cases and requirements have been researched and consolidated in TR 22.837 in SA1.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application, etc., can be achieved via 5G system using different sensing methods to fulfil the required sensing accuracy.</w:t>
      </w:r>
    </w:p>
    <w:p w:rsidR="002F1256" w:rsidRDefault="002F025B">
      <w:pPr>
        <w:rPr>
          <w:lang w:val="en-US"/>
        </w:rPr>
      </w:pPr>
      <w:r>
        <w:rPr>
          <w:lang w:val="en-US"/>
        </w:rPr>
        <w:tab/>
      </w:r>
    </w:p>
    <w:p w:rsidR="002F1256" w:rsidRDefault="002F025B">
      <w:pPr>
        <w:rPr>
          <w:lang w:val="en-US"/>
        </w:rPr>
      </w:pPr>
      <w:r>
        <w:rPr>
          <w:lang w:val="en-US"/>
        </w:rPr>
        <w:t>SA1 has already started normative work in TS 22.137.</w:t>
      </w:r>
    </w:p>
    <w:p w:rsidR="002F1256" w:rsidRDefault="002F1256">
      <w:pPr>
        <w:rPr>
          <w:lang w:val="en-US"/>
        </w:rPr>
      </w:pPr>
    </w:p>
    <w:p w:rsidR="002F1256" w:rsidRDefault="002F025B">
      <w:pPr>
        <w:rPr>
          <w:lang w:val="en-US"/>
        </w:rPr>
      </w:pPr>
      <w:r>
        <w:rPr>
          <w:lang w:val="en-US"/>
        </w:rPr>
        <w:t>SA2 is making efforts to address the ISAC related requirements (Focusing working task on architecture and procedure).</w:t>
      </w:r>
    </w:p>
    <w:p w:rsidR="002F1256" w:rsidRDefault="002F1256">
      <w:pPr>
        <w:rPr>
          <w:lang w:val="en-US"/>
        </w:rPr>
      </w:pPr>
    </w:p>
    <w:p w:rsidR="002F1256" w:rsidRDefault="002F025B">
      <w:pPr>
        <w:rPr>
          <w:lang w:val="en-US"/>
        </w:rPr>
      </w:pPr>
      <w:r>
        <w:rPr>
          <w:lang w:val="en-US"/>
        </w:rPr>
        <w:t>As to RAN WGs, RAN1 is independent from SA2 work, scope may include Channel Modeling;</w:t>
      </w:r>
    </w:p>
    <w:p w:rsidR="002F1256" w:rsidRDefault="002F025B">
      <w:pPr>
        <w:rPr>
          <w:lang w:val="en-US"/>
        </w:rPr>
      </w:pPr>
      <w:r>
        <w:rPr>
          <w:lang w:val="en-US"/>
        </w:rPr>
        <w:t>RAN3 is aiming at the coordination work with SA2’s work on ISAC in Rel-19, scope include:</w:t>
      </w:r>
    </w:p>
    <w:p w:rsidR="002F1256" w:rsidRDefault="002F025B">
      <w:pPr>
        <w:pStyle w:val="ListParagraph"/>
        <w:numPr>
          <w:ilvl w:val="0"/>
          <w:numId w:val="1"/>
        </w:numPr>
        <w:rPr>
          <w:sz w:val="20"/>
          <w:szCs w:val="20"/>
        </w:rPr>
      </w:pPr>
      <w:r>
        <w:rPr>
          <w:sz w:val="20"/>
          <w:szCs w:val="20"/>
        </w:rPr>
        <w:t>Control plane aspect (e.g., Protocol stack, how to trigger gNB start the sensing service);</w:t>
      </w:r>
    </w:p>
    <w:p w:rsidR="002F1256" w:rsidRDefault="002F025B">
      <w:pPr>
        <w:pStyle w:val="ListParagraph"/>
        <w:numPr>
          <w:ilvl w:val="0"/>
          <w:numId w:val="1"/>
        </w:numPr>
        <w:rPr>
          <w:sz w:val="20"/>
          <w:szCs w:val="20"/>
        </w:rPr>
      </w:pPr>
      <w:r>
        <w:rPr>
          <w:sz w:val="20"/>
          <w:szCs w:val="20"/>
        </w:rPr>
        <w:t>User plane aspect (e.g., Protocol stack, data format)</w:t>
      </w:r>
    </w:p>
    <w:p w:rsidR="002F1256" w:rsidRDefault="002F025B">
      <w:pPr>
        <w:rPr>
          <w:lang w:val="en-US"/>
        </w:rPr>
      </w:pPr>
      <w:r>
        <w:rPr>
          <w:lang w:val="en-US"/>
        </w:rPr>
        <w:t>Considering ISAC has brought plenty of novel features and devices to the network, it is suggested to investigate potential use cases and for the OAM level. Management aspects of ISAC also need to be addressed in SA5 scope and potential scopes may include potential uses cases, requirements, NRM, configurations/PMs/KPIs, etc.</w:t>
      </w:r>
    </w:p>
    <w:p w:rsidR="002F1256" w:rsidRDefault="002F1256">
      <w:pPr>
        <w:rPr>
          <w:lang w:val="en-US"/>
        </w:rPr>
      </w:pPr>
    </w:p>
    <w:p w:rsidR="000A4BCD" w:rsidRDefault="002F025B" w:rsidP="000A4BCD">
      <w:r>
        <w:t>Since SA1 already has specific descriptions in TR 22.837 and TS 221.1337, it is suggested to majorly focus on the existing requirements related to OAM from SA1 decoupled with SA2. Considering RAN1 and RAN3 have plan to start independent study, the study in SA5 should also be independent.</w:t>
      </w:r>
      <w:r w:rsidR="000A4BCD" w:rsidDel="000A4BCD">
        <w:t xml:space="preserve"> </w:t>
      </w:r>
    </w:p>
    <w:p w:rsidR="003D3657" w:rsidRDefault="003D3657" w:rsidP="000A4BCD"/>
    <w:p w:rsidR="003D3657" w:rsidRDefault="00AF7787" w:rsidP="000A4BCD">
      <w:r>
        <w:t xml:space="preserve">According to </w:t>
      </w:r>
      <w:r w:rsidR="003D3657">
        <w:t xml:space="preserve">abundant use cases and requirements </w:t>
      </w:r>
      <w:r>
        <w:t xml:space="preserve">from the SA1, </w:t>
      </w:r>
      <w:r>
        <w:t xml:space="preserve">we can investigate </w:t>
      </w:r>
      <w:r>
        <w:t>OAM</w:t>
      </w:r>
      <w:r>
        <w:t xml:space="preserve"> </w:t>
      </w:r>
      <w:r w:rsidR="003D3657">
        <w:t>stage 1 use cases and requirements:</w:t>
      </w:r>
    </w:p>
    <w:p w:rsidR="003D3657" w:rsidRDefault="000D7732" w:rsidP="000D7732">
      <w:pPr>
        <w:pStyle w:val="ListParagraph"/>
        <w:numPr>
          <w:ilvl w:val="0"/>
          <w:numId w:val="1"/>
        </w:numPr>
        <w:rPr>
          <w:sz w:val="20"/>
          <w:szCs w:val="20"/>
        </w:rPr>
      </w:pPr>
      <w:r w:rsidRPr="000D7732">
        <w:rPr>
          <w:sz w:val="20"/>
          <w:szCs w:val="20"/>
          <w:lang w:val="en-GB"/>
        </w:rPr>
        <w:t xml:space="preserve">As to 5.4 </w:t>
      </w:r>
      <w:r w:rsidRPr="000D7732">
        <w:rPr>
          <w:rFonts w:hint="eastAsia"/>
          <w:sz w:val="20"/>
          <w:szCs w:val="20"/>
          <w:lang w:val="en-GB"/>
        </w:rPr>
        <w:t>Use Case on Transparent Sensing Use Case</w:t>
      </w:r>
      <w:r w:rsidRPr="000D7732">
        <w:rPr>
          <w:sz w:val="20"/>
          <w:szCs w:val="20"/>
          <w:lang w:val="en-GB"/>
        </w:rPr>
        <w:t xml:space="preserve"> (</w:t>
      </w:r>
      <w:r w:rsidRPr="000D7732">
        <w:rPr>
          <w:sz w:val="20"/>
          <w:szCs w:val="20"/>
          <w:lang w:val="en-GB"/>
        </w:rPr>
        <w:t>TR 22.837</w:t>
      </w:r>
      <w:r w:rsidRPr="000D7732">
        <w:rPr>
          <w:sz w:val="20"/>
          <w:szCs w:val="20"/>
          <w:lang w:val="en-GB"/>
        </w:rPr>
        <w:t>)</w:t>
      </w:r>
      <w:r>
        <w:rPr>
          <w:sz w:val="20"/>
          <w:szCs w:val="20"/>
          <w:lang w:val="en-GB"/>
        </w:rPr>
        <w:t xml:space="preserve">, we can investigate that whether the existing positioning data type (for LMF) can support </w:t>
      </w:r>
      <w:r w:rsidRPr="000D7732">
        <w:rPr>
          <w:sz w:val="20"/>
          <w:szCs w:val="20"/>
          <w:lang w:val="en-GB"/>
        </w:rPr>
        <w:t>new use case</w:t>
      </w:r>
      <w:r>
        <w:rPr>
          <w:sz w:val="20"/>
          <w:szCs w:val="20"/>
          <w:lang w:val="en-GB"/>
        </w:rPr>
        <w:t xml:space="preserve"> and </w:t>
      </w:r>
      <w:r w:rsidRPr="000D7732">
        <w:rPr>
          <w:sz w:val="20"/>
          <w:szCs w:val="20"/>
          <w:lang w:val="en-GB"/>
        </w:rPr>
        <w:t>non-3GPP data collection and API exposure</w:t>
      </w:r>
      <w:r>
        <w:rPr>
          <w:sz w:val="20"/>
          <w:szCs w:val="20"/>
          <w:lang w:val="en-GB"/>
        </w:rPr>
        <w:t>;</w:t>
      </w:r>
    </w:p>
    <w:p w:rsidR="003D3657" w:rsidRPr="00D7238B" w:rsidRDefault="00D7238B" w:rsidP="00D7238B">
      <w:pPr>
        <w:pStyle w:val="ListParagraph"/>
        <w:numPr>
          <w:ilvl w:val="0"/>
          <w:numId w:val="1"/>
        </w:numPr>
        <w:rPr>
          <w:sz w:val="20"/>
          <w:szCs w:val="20"/>
        </w:rPr>
      </w:pPr>
      <w:r>
        <w:rPr>
          <w:sz w:val="20"/>
          <w:szCs w:val="20"/>
        </w:rPr>
        <w:lastRenderedPageBreak/>
        <w:t xml:space="preserve">As to </w:t>
      </w:r>
      <w:r w:rsidRPr="00D7238B">
        <w:rPr>
          <w:sz w:val="20"/>
          <w:szCs w:val="20"/>
        </w:rPr>
        <w:t>5.8</w:t>
      </w:r>
      <w:r>
        <w:rPr>
          <w:sz w:val="20"/>
          <w:szCs w:val="20"/>
        </w:rPr>
        <w:t xml:space="preserve"> </w:t>
      </w:r>
      <w:r w:rsidRPr="00D7238B">
        <w:rPr>
          <w:sz w:val="20"/>
          <w:szCs w:val="20"/>
        </w:rPr>
        <w:t>Use Case on Sensing Assisted Automotive Maneuvering and Navigation</w:t>
      </w:r>
      <w:r w:rsidRPr="00D7238B">
        <w:rPr>
          <w:rFonts w:hint="eastAsia"/>
          <w:sz w:val="20"/>
          <w:szCs w:val="20"/>
          <w:lang w:val="en-GB"/>
        </w:rPr>
        <w:t xml:space="preserve"> </w:t>
      </w:r>
      <w:r w:rsidRPr="000D7732">
        <w:rPr>
          <w:rFonts w:hint="eastAsia"/>
          <w:sz w:val="20"/>
          <w:szCs w:val="20"/>
          <w:lang w:val="en-GB"/>
        </w:rPr>
        <w:t>Case</w:t>
      </w:r>
      <w:r w:rsidRPr="000D7732">
        <w:rPr>
          <w:sz w:val="20"/>
          <w:szCs w:val="20"/>
          <w:lang w:val="en-GB"/>
        </w:rPr>
        <w:t xml:space="preserve"> (TR 22.837)</w:t>
      </w:r>
      <w:r>
        <w:rPr>
          <w:sz w:val="20"/>
          <w:szCs w:val="20"/>
          <w:lang w:val="en-GB"/>
        </w:rPr>
        <w:t>,</w:t>
      </w:r>
      <w:r>
        <w:rPr>
          <w:sz w:val="20"/>
          <w:szCs w:val="20"/>
          <w:lang w:val="en-GB"/>
        </w:rPr>
        <w:t xml:space="preserve"> we can investigate </w:t>
      </w:r>
      <w:r w:rsidRPr="00D7238B">
        <w:rPr>
          <w:sz w:val="20"/>
          <w:szCs w:val="20"/>
          <w:lang w:val="en-GB"/>
        </w:rPr>
        <w:t>V2xCapability</w:t>
      </w:r>
      <w:r>
        <w:rPr>
          <w:sz w:val="20"/>
          <w:szCs w:val="20"/>
          <w:lang w:val="en-GB"/>
        </w:rPr>
        <w:t xml:space="preserve"> in TS 28.541 can be reused to support the use case. </w:t>
      </w:r>
    </w:p>
    <w:p w:rsidR="00D7238B" w:rsidRDefault="00D7238B" w:rsidP="00D7238B">
      <w:pPr>
        <w:pStyle w:val="ListParagraph"/>
        <w:ind w:left="720"/>
        <w:rPr>
          <w:sz w:val="20"/>
          <w:szCs w:val="20"/>
        </w:rPr>
      </w:pPr>
      <w:r w:rsidRPr="00D7238B">
        <w:rPr>
          <w:sz w:val="20"/>
          <w:szCs w:val="20"/>
        </w:rPr>
        <w:t>- activate and/or deactivate sensing service in the target sensing area based on network conditions (e.g., network-load)</w:t>
      </w:r>
    </w:p>
    <w:p w:rsidR="00D7238B" w:rsidRPr="00D7238B" w:rsidRDefault="00D7238B" w:rsidP="00D7238B">
      <w:pPr>
        <w:pStyle w:val="ListParagraph"/>
        <w:ind w:left="720"/>
        <w:rPr>
          <w:sz w:val="20"/>
          <w:szCs w:val="20"/>
        </w:rPr>
      </w:pPr>
      <w:r w:rsidRPr="00D7238B">
        <w:rPr>
          <w:sz w:val="20"/>
          <w:szCs w:val="20"/>
        </w:rPr>
        <w:t>- support exposure of sensing results and sensing contextual information (e.g. UE location), to a trusted third-party application</w:t>
      </w:r>
    </w:p>
    <w:p w:rsidR="00D7238B" w:rsidRPr="00D7238B" w:rsidRDefault="00D7238B" w:rsidP="00D7238B">
      <w:pPr>
        <w:pStyle w:val="ListParagraph"/>
        <w:numPr>
          <w:ilvl w:val="0"/>
          <w:numId w:val="1"/>
        </w:numPr>
        <w:rPr>
          <w:sz w:val="20"/>
          <w:szCs w:val="20"/>
        </w:rPr>
      </w:pPr>
      <w:r>
        <w:rPr>
          <w:sz w:val="20"/>
          <w:szCs w:val="20"/>
        </w:rPr>
        <w:t xml:space="preserve">As to </w:t>
      </w:r>
      <w:r w:rsidRPr="00D7238B">
        <w:rPr>
          <w:sz w:val="20"/>
          <w:szCs w:val="20"/>
        </w:rPr>
        <w:t>5.24 Use case on roa</w:t>
      </w:r>
      <w:bookmarkStart w:id="0" w:name="_GoBack"/>
      <w:bookmarkEnd w:id="0"/>
      <w:r w:rsidRPr="00D7238B">
        <w:rPr>
          <w:sz w:val="20"/>
          <w:szCs w:val="20"/>
        </w:rPr>
        <w:t>ming for sensing service of sports monitoring</w:t>
      </w:r>
      <w:r>
        <w:rPr>
          <w:sz w:val="20"/>
          <w:szCs w:val="20"/>
        </w:rPr>
        <w:t xml:space="preserve"> </w:t>
      </w:r>
      <w:r w:rsidRPr="000D7732">
        <w:rPr>
          <w:sz w:val="20"/>
          <w:szCs w:val="20"/>
          <w:lang w:val="en-GB"/>
        </w:rPr>
        <w:t>(TR 22.837)</w:t>
      </w:r>
      <w:r>
        <w:rPr>
          <w:sz w:val="20"/>
          <w:szCs w:val="20"/>
          <w:lang w:val="en-GB"/>
        </w:rPr>
        <w:t xml:space="preserve">, we can investigate the relationship of the roaming case with the HR roaming scenario </w:t>
      </w:r>
      <w:r>
        <w:rPr>
          <w:sz w:val="20"/>
          <w:szCs w:val="20"/>
          <w:lang w:val="en-GB"/>
        </w:rPr>
        <w:t>in TS 28.541</w:t>
      </w:r>
    </w:p>
    <w:p w:rsidR="00D7238B" w:rsidRDefault="00D7238B" w:rsidP="00D7238B">
      <w:pPr>
        <w:pStyle w:val="ListParagraph"/>
        <w:numPr>
          <w:ilvl w:val="0"/>
          <w:numId w:val="1"/>
        </w:numPr>
        <w:rPr>
          <w:sz w:val="20"/>
          <w:szCs w:val="20"/>
        </w:rPr>
      </w:pPr>
      <w:r>
        <w:rPr>
          <w:sz w:val="20"/>
          <w:szCs w:val="20"/>
        </w:rPr>
        <w:t xml:space="preserve">Investigate which </w:t>
      </w:r>
      <w:r w:rsidR="001535FE">
        <w:rPr>
          <w:sz w:val="20"/>
          <w:szCs w:val="20"/>
        </w:rPr>
        <w:t>kind of sensing data can be collected and managed by OAM</w:t>
      </w:r>
    </w:p>
    <w:p w:rsidR="000A4BCD" w:rsidRDefault="001535FE" w:rsidP="000A4BCD">
      <w:pPr>
        <w:pStyle w:val="ListParagraph"/>
        <w:numPr>
          <w:ilvl w:val="0"/>
          <w:numId w:val="1"/>
        </w:numPr>
      </w:pPr>
      <w:r w:rsidRPr="001535FE">
        <w:rPr>
          <w:sz w:val="20"/>
          <w:szCs w:val="20"/>
        </w:rPr>
        <w:t xml:space="preserve">Investigate which kind of abundant measurements and KPIs defined in </w:t>
      </w:r>
      <w:r w:rsidRPr="001535FE">
        <w:rPr>
          <w:sz w:val="20"/>
          <w:szCs w:val="20"/>
          <w:lang w:val="en-GB"/>
        </w:rPr>
        <w:t>TR 22.837</w:t>
      </w:r>
      <w:r w:rsidRPr="001535FE">
        <w:rPr>
          <w:sz w:val="20"/>
          <w:szCs w:val="20"/>
          <w:lang w:val="en-GB"/>
        </w:rPr>
        <w:t xml:space="preserve"> </w:t>
      </w:r>
      <w:r w:rsidR="00BD1211">
        <w:rPr>
          <w:sz w:val="20"/>
          <w:szCs w:val="20"/>
          <w:lang w:val="en-GB"/>
        </w:rPr>
        <w:t>can be collected and managed by OAM</w:t>
      </w:r>
    </w:p>
    <w:p w:rsidR="000A4BCD" w:rsidRDefault="000A4BCD" w:rsidP="000A4BCD"/>
    <w:p w:rsidR="002F1256" w:rsidRDefault="002F1256" w:rsidP="000A4BCD"/>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rsidR="002F1256" w:rsidRDefault="002F025B">
      <w:pPr>
        <w:rPr>
          <w:color w:val="000000"/>
          <w:lang w:eastAsia="ja-JP"/>
        </w:rPr>
      </w:pPr>
      <w:r>
        <w:rPr>
          <w:color w:val="000000"/>
          <w:lang w:eastAsia="ja-JP"/>
        </w:rPr>
        <w:t>This study item focuses on the management aspects after the introduction of ISAC (Integrated Sensing and</w:t>
      </w:r>
    </w:p>
    <w:p w:rsidR="002F1256" w:rsidRDefault="002F025B">
      <w:pPr>
        <w:rPr>
          <w:color w:val="000000"/>
          <w:lang w:eastAsia="ja-JP"/>
        </w:rPr>
      </w:pPr>
      <w:r>
        <w:rPr>
          <w:color w:val="000000"/>
          <w:lang w:eastAsia="ja-JP"/>
        </w:rPr>
        <w:t>Communication). Potential scope includes:</w:t>
      </w:r>
    </w:p>
    <w:p w:rsidR="002F1256" w:rsidRDefault="002F1256">
      <w:pPr>
        <w:rPr>
          <w:color w:val="000000"/>
          <w:lang w:eastAsia="ja-JP"/>
        </w:rPr>
      </w:pPr>
    </w:p>
    <w:p w:rsidR="002F1256" w:rsidRPr="00E57757" w:rsidRDefault="002F025B">
      <w:pPr>
        <w:ind w:firstLine="426"/>
        <w:rPr>
          <w:color w:val="000000"/>
          <w:lang w:eastAsia="ja-JP"/>
        </w:rPr>
      </w:pPr>
      <w:r w:rsidRPr="00E57757">
        <w:rPr>
          <w:rFonts w:hint="eastAsia"/>
          <w:b/>
          <w:bCs/>
          <w:lang w:val="en-US" w:eastAsia="zh-CN"/>
        </w:rPr>
        <w:t>W</w:t>
      </w:r>
      <w:r w:rsidR="000A6F94">
        <w:rPr>
          <w:rFonts w:hint="eastAsia"/>
          <w:b/>
          <w:bCs/>
          <w:lang w:val="en-US" w:eastAsia="zh-CN"/>
        </w:rPr>
        <w:t>T</w:t>
      </w:r>
      <w:r w:rsidRPr="00E57757">
        <w:rPr>
          <w:rFonts w:hint="eastAsia"/>
          <w:b/>
          <w:bCs/>
          <w:lang w:val="en-US" w:eastAsia="zh-CN"/>
        </w:rPr>
        <w:t>#1</w:t>
      </w:r>
      <w:r w:rsidRPr="00E57757">
        <w:rPr>
          <w:rFonts w:hint="eastAsia"/>
          <w:lang w:val="en-US" w:eastAsia="zh-CN"/>
        </w:rPr>
        <w:t>:</w:t>
      </w:r>
      <w:r w:rsidRPr="00E57757">
        <w:rPr>
          <w:lang w:val="en-US" w:eastAsia="zh-CN"/>
        </w:rPr>
        <w:t xml:space="preserve"> </w:t>
      </w:r>
      <w:r w:rsidRPr="00E57757">
        <w:rPr>
          <w:color w:val="000000"/>
          <w:lang w:eastAsia="ja-JP"/>
        </w:rPr>
        <w:t>Investigate requirements and use cases related to network management for ISAC, including:</w:t>
      </w:r>
    </w:p>
    <w:p w:rsidR="002F1256" w:rsidRPr="00E57757" w:rsidRDefault="002F025B">
      <w:pPr>
        <w:ind w:firstLine="851"/>
        <w:rPr>
          <w:color w:val="000000"/>
          <w:lang w:eastAsia="ja-JP"/>
        </w:rPr>
      </w:pPr>
      <w:r w:rsidRPr="00E57757">
        <w:rPr>
          <w:color w:val="000000"/>
          <w:lang w:eastAsia="ja-JP"/>
        </w:rPr>
        <w:t>1.1 Investigate which requirements and use cases for ISAC defined in SA1 related to SA5 management and</w:t>
      </w:r>
    </w:p>
    <w:p w:rsidR="002F1256" w:rsidRPr="00E57757" w:rsidRDefault="002F025B">
      <w:pPr>
        <w:ind w:firstLine="426"/>
        <w:rPr>
          <w:color w:val="000000"/>
          <w:lang w:eastAsia="ja-JP"/>
        </w:rPr>
      </w:pPr>
      <w:r w:rsidRPr="00E57757">
        <w:rPr>
          <w:color w:val="000000"/>
          <w:lang w:eastAsia="ja-JP"/>
        </w:rPr>
        <w:t>Orchestration.</w:t>
      </w:r>
    </w:p>
    <w:p w:rsidR="002F1256" w:rsidRPr="00E57757" w:rsidRDefault="002F025B">
      <w:pPr>
        <w:ind w:firstLine="851"/>
        <w:rPr>
          <w:color w:val="000000"/>
          <w:lang w:eastAsia="ja-JP"/>
        </w:rPr>
      </w:pPr>
      <w:r w:rsidRPr="00E57757">
        <w:rPr>
          <w:color w:val="000000"/>
          <w:lang w:eastAsia="ja-JP"/>
        </w:rPr>
        <w:t>1.2 Investigate potential requirements and use cases of network management for ISAC network feature defined in RAN WGs and SA2.</w:t>
      </w:r>
    </w:p>
    <w:p w:rsidR="002F1256" w:rsidRPr="00E57757" w:rsidRDefault="002F1256">
      <w:pPr>
        <w:ind w:firstLine="426"/>
        <w:rPr>
          <w:color w:val="000000"/>
          <w:lang w:eastAsia="ja-JP"/>
        </w:rPr>
      </w:pPr>
    </w:p>
    <w:p w:rsidR="002F1256" w:rsidRPr="00E57757" w:rsidRDefault="000A6F94">
      <w:pPr>
        <w:ind w:firstLine="426"/>
        <w:rPr>
          <w:color w:val="000000"/>
          <w:lang w:eastAsia="ja-JP"/>
        </w:rPr>
      </w:pPr>
      <w:r>
        <w:rPr>
          <w:rFonts w:hint="eastAsia"/>
          <w:b/>
          <w:bCs/>
          <w:lang w:val="en-US" w:eastAsia="zh-CN"/>
        </w:rPr>
        <w:t>WT</w:t>
      </w:r>
      <w:r w:rsidR="002F025B" w:rsidRPr="00E57757">
        <w:rPr>
          <w:rFonts w:hint="eastAsia"/>
          <w:b/>
          <w:bCs/>
          <w:lang w:val="en-US" w:eastAsia="zh-CN"/>
        </w:rPr>
        <w:t>#</w:t>
      </w:r>
      <w:r w:rsidR="002F025B" w:rsidRPr="00E57757">
        <w:rPr>
          <w:b/>
          <w:bCs/>
          <w:lang w:val="en-US" w:eastAsia="zh-CN"/>
        </w:rPr>
        <w:t>2</w:t>
      </w:r>
      <w:r w:rsidR="002F025B" w:rsidRPr="00E57757">
        <w:rPr>
          <w:rFonts w:hint="eastAsia"/>
          <w:lang w:val="en-US" w:eastAsia="zh-CN"/>
        </w:rPr>
        <w:t>:</w:t>
      </w:r>
      <w:r w:rsidR="002F025B" w:rsidRPr="00E57757">
        <w:rPr>
          <w:lang w:val="en-US" w:eastAsia="zh-CN"/>
        </w:rPr>
        <w:t xml:space="preserve"> </w:t>
      </w:r>
      <w:r w:rsidR="002F025B" w:rsidRPr="00E57757">
        <w:rPr>
          <w:color w:val="000000"/>
          <w:lang w:eastAsia="ja-JP"/>
        </w:rPr>
        <w:t>Investigate network management solutions for potential sensing-related network functions/entities for ISAC.</w:t>
      </w:r>
    </w:p>
    <w:p w:rsidR="002F1256" w:rsidRDefault="002F025B">
      <w:pPr>
        <w:ind w:firstLine="426"/>
        <w:rPr>
          <w:color w:val="000000"/>
          <w:lang w:val="en-US" w:eastAsia="ja-JP"/>
        </w:rPr>
      </w:pPr>
      <w:r w:rsidRPr="00E57757">
        <w:rPr>
          <w:color w:val="000000"/>
          <w:lang w:val="en-US" w:eastAsia="ja-JP"/>
        </w:rPr>
        <w:t>It is recommended to investigate network management solutions and the network management procedures considering about the network architecture, configurations/reporting data for different sensing nodes, develop/enhance network management capabilities for 5G networks for different ISAC scenarios.</w:t>
      </w:r>
    </w:p>
    <w:p w:rsidR="000A6F94" w:rsidRPr="000A6F94" w:rsidRDefault="000A6F94">
      <w:pPr>
        <w:ind w:firstLine="426"/>
        <w:rPr>
          <w:color w:val="000000"/>
          <w:lang w:eastAsia="ja-JP"/>
        </w:rPr>
      </w:pPr>
    </w:p>
    <w:p w:rsidR="002F1256" w:rsidRPr="00E57757" w:rsidRDefault="002F1256">
      <w:pPr>
        <w:ind w:leftChars="200" w:left="400"/>
        <w:rPr>
          <w:lang w:eastAsia="zh-CN"/>
        </w:rPr>
      </w:pPr>
    </w:p>
    <w:p w:rsidR="002F1256" w:rsidRPr="00E57757" w:rsidRDefault="000A6F94">
      <w:pPr>
        <w:ind w:leftChars="200" w:left="400"/>
        <w:rPr>
          <w:lang w:eastAsia="zh-CN"/>
        </w:rPr>
      </w:pPr>
      <w:r>
        <w:rPr>
          <w:rFonts w:hint="eastAsia"/>
          <w:b/>
          <w:bCs/>
          <w:lang w:val="en-US" w:eastAsia="zh-CN"/>
        </w:rPr>
        <w:t>WT</w:t>
      </w:r>
      <w:r w:rsidR="002F025B" w:rsidRPr="00E57757">
        <w:rPr>
          <w:rFonts w:hint="eastAsia"/>
          <w:b/>
          <w:bCs/>
          <w:lang w:val="en-US" w:eastAsia="zh-CN"/>
        </w:rPr>
        <w:t>#</w:t>
      </w:r>
      <w:r w:rsidR="002F025B" w:rsidRPr="00E57757">
        <w:rPr>
          <w:b/>
          <w:bCs/>
          <w:lang w:val="en-US" w:eastAsia="zh-CN"/>
        </w:rPr>
        <w:t>3</w:t>
      </w:r>
      <w:r w:rsidR="002F025B" w:rsidRPr="00E57757">
        <w:rPr>
          <w:rFonts w:hint="eastAsia"/>
          <w:lang w:val="en-US" w:eastAsia="zh-CN"/>
        </w:rPr>
        <w:t>:</w:t>
      </w:r>
      <w:r w:rsidR="002F025B" w:rsidRPr="00E57757">
        <w:rPr>
          <w:lang w:val="en-US" w:eastAsia="zh-CN"/>
        </w:rPr>
        <w:t xml:space="preserve"> </w:t>
      </w:r>
      <w:r w:rsidR="002F025B" w:rsidRPr="00E57757">
        <w:rPr>
          <w:lang w:eastAsia="zh-CN"/>
        </w:rPr>
        <w:t>Investigate the potential network configuration to support ISAC, including:</w:t>
      </w:r>
    </w:p>
    <w:p w:rsidR="002F1256" w:rsidRPr="00E57757" w:rsidRDefault="002F025B">
      <w:pPr>
        <w:ind w:leftChars="425" w:left="1301" w:hanging="451"/>
        <w:rPr>
          <w:lang w:eastAsia="zh-CN"/>
        </w:rPr>
      </w:pPr>
      <w:r w:rsidRPr="00E57757">
        <w:rPr>
          <w:color w:val="000000"/>
          <w:lang w:eastAsia="ja-JP"/>
        </w:rPr>
        <w:t xml:space="preserve">3.1 </w:t>
      </w:r>
      <w:r w:rsidRPr="00E57757">
        <w:rPr>
          <w:rFonts w:hint="eastAsia"/>
          <w:lang w:eastAsia="zh-CN"/>
        </w:rPr>
        <w:t>network configuration (including NRM enhancement) for RAN ISAC features</w:t>
      </w:r>
    </w:p>
    <w:p w:rsidR="002F1256" w:rsidRPr="00E57757" w:rsidRDefault="002F025B">
      <w:pPr>
        <w:ind w:leftChars="200" w:left="400" w:firstLine="451"/>
        <w:rPr>
          <w:lang w:eastAsia="zh-CN"/>
        </w:rPr>
      </w:pPr>
      <w:r w:rsidRPr="00E57757">
        <w:rPr>
          <w:color w:val="000000"/>
          <w:lang w:eastAsia="ja-JP"/>
        </w:rPr>
        <w:t xml:space="preserve">3.2 </w:t>
      </w:r>
      <w:r w:rsidRPr="00E57757">
        <w:rPr>
          <w:rFonts w:hint="eastAsia"/>
          <w:lang w:eastAsia="zh-CN"/>
        </w:rPr>
        <w:t>network configuration (including NRM enhancement) for 5GC ISAC features</w:t>
      </w:r>
    </w:p>
    <w:p w:rsidR="002F1256" w:rsidRPr="00E57757" w:rsidRDefault="002F1256">
      <w:pPr>
        <w:ind w:leftChars="200" w:left="400"/>
        <w:rPr>
          <w:lang w:eastAsia="zh-CN"/>
        </w:rPr>
      </w:pPr>
    </w:p>
    <w:p w:rsidR="002F1256" w:rsidRPr="00E57757" w:rsidRDefault="000A6F94">
      <w:pPr>
        <w:ind w:leftChars="200" w:left="400"/>
        <w:rPr>
          <w:lang w:eastAsia="zh-CN"/>
        </w:rPr>
      </w:pPr>
      <w:r>
        <w:rPr>
          <w:rFonts w:hint="eastAsia"/>
          <w:b/>
          <w:bCs/>
          <w:lang w:val="en-US" w:eastAsia="zh-CN"/>
        </w:rPr>
        <w:t>WT</w:t>
      </w:r>
      <w:r w:rsidR="002F025B" w:rsidRPr="00E57757">
        <w:rPr>
          <w:rFonts w:hint="eastAsia"/>
          <w:b/>
          <w:bCs/>
          <w:lang w:val="en-US" w:eastAsia="zh-CN"/>
        </w:rPr>
        <w:t>#</w:t>
      </w:r>
      <w:r w:rsidR="002F025B" w:rsidRPr="00E57757">
        <w:rPr>
          <w:b/>
          <w:bCs/>
          <w:lang w:val="en-US" w:eastAsia="zh-CN"/>
        </w:rPr>
        <w:t>4</w:t>
      </w:r>
      <w:r w:rsidR="002F025B" w:rsidRPr="00E57757">
        <w:rPr>
          <w:rFonts w:hint="eastAsia"/>
          <w:lang w:val="en-US" w:eastAsia="zh-CN"/>
        </w:rPr>
        <w:t>:</w:t>
      </w:r>
      <w:r w:rsidR="002F025B" w:rsidRPr="00E57757">
        <w:rPr>
          <w:lang w:val="en-US" w:eastAsia="zh-CN"/>
        </w:rPr>
        <w:t xml:space="preserve"> </w:t>
      </w:r>
      <w:r w:rsidR="002F025B" w:rsidRPr="00E57757">
        <w:rPr>
          <w:lang w:eastAsia="zh-CN"/>
        </w:rPr>
        <w:t>Study whether PMs/KPIs needs to evaluate the performance for ISAC.</w:t>
      </w:r>
    </w:p>
    <w:p w:rsidR="002F1256" w:rsidRPr="00E57757" w:rsidRDefault="002F025B">
      <w:pPr>
        <w:ind w:leftChars="200" w:left="400" w:firstLine="451"/>
        <w:rPr>
          <w:lang w:eastAsia="zh-CN"/>
        </w:rPr>
      </w:pPr>
      <w:r w:rsidRPr="00E57757">
        <w:rPr>
          <w:lang w:eastAsia="zh-CN"/>
        </w:rPr>
        <w:t>SA1 has proposed clear KPI indicators for different ISAC application scenarios. It is recommended to conduct PM/KPI indicators and measurement studies separately for these different ISAC application scenarios, such as object detection and tracking, environmental monitoring, motion monitoring, etc.</w:t>
      </w:r>
    </w:p>
    <w:p w:rsidR="002F1256" w:rsidRPr="00E57757" w:rsidRDefault="002F1256">
      <w:pPr>
        <w:ind w:leftChars="200" w:left="400"/>
        <w:rPr>
          <w:lang w:eastAsia="zh-CN"/>
        </w:rPr>
      </w:pPr>
    </w:p>
    <w:p w:rsidR="002F1256" w:rsidRDefault="000A6F94">
      <w:pPr>
        <w:ind w:leftChars="200" w:left="400"/>
        <w:rPr>
          <w:lang w:eastAsia="zh-CN"/>
        </w:rPr>
      </w:pPr>
      <w:r>
        <w:rPr>
          <w:rFonts w:hint="eastAsia"/>
          <w:b/>
          <w:bCs/>
          <w:lang w:val="en-US" w:eastAsia="zh-CN"/>
        </w:rPr>
        <w:t>WT</w:t>
      </w:r>
      <w:r w:rsidR="002F025B" w:rsidRPr="00E57757">
        <w:rPr>
          <w:rFonts w:hint="eastAsia"/>
          <w:b/>
          <w:bCs/>
          <w:lang w:val="en-US" w:eastAsia="zh-CN"/>
        </w:rPr>
        <w:t>#</w:t>
      </w:r>
      <w:r w:rsidR="002F025B" w:rsidRPr="00E57757">
        <w:rPr>
          <w:b/>
          <w:bCs/>
          <w:lang w:val="en-US" w:eastAsia="zh-CN"/>
        </w:rPr>
        <w:t>5</w:t>
      </w:r>
      <w:r w:rsidR="002F025B" w:rsidRPr="00E57757">
        <w:rPr>
          <w:rFonts w:hint="eastAsia"/>
          <w:lang w:val="en-US" w:eastAsia="zh-CN"/>
        </w:rPr>
        <w:t>:</w:t>
      </w:r>
      <w:r w:rsidR="002F025B" w:rsidRPr="00E57757">
        <w:rPr>
          <w:lang w:val="en-US" w:eastAsia="zh-CN"/>
        </w:rPr>
        <w:t xml:space="preserve"> </w:t>
      </w:r>
      <w:r w:rsidR="002F025B" w:rsidRPr="00E57757">
        <w:rPr>
          <w:lang w:eastAsia="zh-CN"/>
        </w:rPr>
        <w:t>Investigate whether to need enhancement for Data Collection (e.g., management data, sensing data etc.) for ISAC.</w:t>
      </w:r>
    </w:p>
    <w:p w:rsidR="002F1256" w:rsidRDefault="002F025B">
      <w:pPr>
        <w:ind w:leftChars="200" w:left="400"/>
        <w:rPr>
          <w:lang w:eastAsia="zh-CN"/>
        </w:rPr>
      </w:pPr>
      <w:r>
        <w:rPr>
          <w:b/>
          <w:bCs/>
          <w:lang w:val="en-US" w:eastAsia="zh-CN"/>
        </w:rPr>
        <w:t xml:space="preserve">        </w:t>
      </w:r>
      <w:r>
        <w:rPr>
          <w:lang w:eastAsia="zh-CN"/>
        </w:rPr>
        <w:t>It is recommended to distinguish between the 3GPP based sensing data and non-3GPP-based sensing data, and further study the data collection and data management separately.</w:t>
      </w:r>
    </w:p>
    <w:p w:rsidR="002F1256" w:rsidRDefault="002F1256">
      <w:pPr>
        <w:ind w:leftChars="200" w:left="400"/>
        <w:rPr>
          <w:lang w:eastAsia="zh-CN"/>
        </w:rPr>
      </w:pPr>
    </w:p>
    <w:p w:rsidR="003D3657" w:rsidRDefault="003D3657" w:rsidP="003D3657">
      <w:pPr>
        <w:rPr>
          <w:lang w:eastAsia="zh-CN"/>
        </w:rPr>
      </w:pPr>
      <w:r>
        <w:rPr>
          <w:lang w:eastAsia="zh-CN"/>
        </w:rPr>
        <w:t xml:space="preserve">       NOTE: </w:t>
      </w:r>
      <w:r w:rsidRPr="00E57757">
        <w:rPr>
          <w:color w:val="000000"/>
          <w:lang w:eastAsia="ja-JP"/>
        </w:rPr>
        <w:t>N</w:t>
      </w:r>
      <w:r>
        <w:rPr>
          <w:color w:val="000000"/>
          <w:lang w:eastAsia="ja-JP"/>
        </w:rPr>
        <w:t>OTE 1</w:t>
      </w:r>
      <w:r w:rsidRPr="00E57757">
        <w:rPr>
          <w:color w:val="000000"/>
          <w:lang w:eastAsia="ja-JP"/>
        </w:rPr>
        <w:t>: Objective</w:t>
      </w:r>
      <w:r>
        <w:rPr>
          <w:color w:val="000000"/>
          <w:lang w:eastAsia="ja-JP"/>
        </w:rPr>
        <w:t>s</w:t>
      </w:r>
      <w:r w:rsidRPr="00E57757">
        <w:rPr>
          <w:color w:val="000000"/>
          <w:lang w:eastAsia="ja-JP"/>
        </w:rPr>
        <w:t xml:space="preserve"> </w:t>
      </w:r>
      <w:r>
        <w:rPr>
          <w:color w:val="000000"/>
          <w:lang w:eastAsia="ja-JP"/>
        </w:rPr>
        <w:t xml:space="preserve">from WT-1 </w:t>
      </w:r>
      <w:r w:rsidRPr="00E57757">
        <w:rPr>
          <w:color w:val="000000"/>
          <w:lang w:eastAsia="ja-JP"/>
        </w:rPr>
        <w:t>1.2</w:t>
      </w:r>
      <w:r>
        <w:rPr>
          <w:color w:val="000000"/>
          <w:lang w:eastAsia="ja-JP"/>
        </w:rPr>
        <w:t xml:space="preserve"> to WT-5</w:t>
      </w:r>
      <w:r w:rsidRPr="00E57757">
        <w:rPr>
          <w:color w:val="000000"/>
          <w:lang w:eastAsia="ja-JP"/>
        </w:rPr>
        <w:t xml:space="preserve"> depend on progress in SA2.</w:t>
      </w:r>
    </w:p>
    <w:p w:rsidR="002F1256" w:rsidRDefault="002F1256">
      <w:pPr>
        <w:ind w:leftChars="200" w:left="400"/>
        <w:rPr>
          <w:lang w:eastAsia="zh-CN"/>
        </w:rPr>
      </w:pPr>
    </w:p>
    <w:p w:rsidR="002F1256" w:rsidRDefault="002F025B">
      <w:pPr>
        <w:ind w:left="288"/>
      </w:pPr>
      <w:r>
        <w:t>Potential collaboration groups and related topics: SA1 “R19 Study on Integrated Sensing and Communication” and normative work “Integrated Sensing and Communication”, SA2, RAN3</w:t>
      </w:r>
    </w:p>
    <w:p w:rsidR="002F1256" w:rsidRDefault="002F1256">
      <w:pPr>
        <w:rPr>
          <w:b/>
        </w:rPr>
      </w:pPr>
    </w:p>
    <w:p w:rsidR="002F1256" w:rsidRDefault="002F1256">
      <w:pPr>
        <w:rPr>
          <w:b/>
        </w:rPr>
      </w:pPr>
    </w:p>
    <w:p w:rsidR="002F1256" w:rsidRDefault="002F025B">
      <w:pPr>
        <w:pStyle w:val="21"/>
        <w:rPr>
          <w:rFonts w:ascii="Times New Roman" w:hAnsi="Times New Roman"/>
        </w:rPr>
      </w:pPr>
      <w:r>
        <w:t>TU estimates and dependencies</w:t>
      </w:r>
      <w:r>
        <w:rPr>
          <w:rStyle w:val="15"/>
          <w:bCs/>
          <w:i w:val="0"/>
          <w:iCs w:val="0"/>
        </w:rPr>
        <w:t xml:space="preserve"> </w:t>
      </w:r>
      <w:r>
        <w:t xml:space="preserve"> </w:t>
      </w:r>
    </w:p>
    <w:p w:rsidR="002F1256" w:rsidRDefault="002F1256">
      <w:pPr>
        <w:rPr>
          <w:b/>
        </w:rPr>
      </w:pPr>
    </w:p>
    <w:tbl>
      <w:tblPr>
        <w:tblStyle w:val="10"/>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533"/>
        <w:gridCol w:w="1553"/>
        <w:gridCol w:w="1883"/>
        <w:gridCol w:w="1883"/>
      </w:tblGrid>
      <w:tr w:rsidR="002F1256">
        <w:trPr>
          <w:trHeight w:val="519"/>
          <w:jc w:val="center"/>
        </w:trPr>
        <w:tc>
          <w:tcPr>
            <w:tcW w:w="1653" w:type="dxa"/>
            <w:tcBorders>
              <w:top w:val="single" w:sz="4" w:space="0" w:color="auto"/>
              <w:left w:val="single" w:sz="4" w:space="0" w:color="auto"/>
              <w:bottom w:val="single" w:sz="4" w:space="0" w:color="auto"/>
              <w:right w:val="single" w:sz="4" w:space="0" w:color="auto"/>
            </w:tcBorders>
          </w:tcPr>
          <w:p w:rsidR="002F1256" w:rsidRDefault="002F025B">
            <w:pPr>
              <w:pStyle w:val="1"/>
              <w:rPr>
                <w:b/>
                <w:bCs/>
              </w:rPr>
            </w:pPr>
            <w:r>
              <w:rPr>
                <w:b/>
                <w:bCs/>
              </w:rPr>
              <w:t>Work Task ID</w:t>
            </w:r>
          </w:p>
        </w:tc>
        <w:tc>
          <w:tcPr>
            <w:tcW w:w="1533" w:type="dxa"/>
            <w:tcBorders>
              <w:top w:val="single" w:sz="4" w:space="0" w:color="auto"/>
              <w:left w:val="single" w:sz="4" w:space="0" w:color="auto"/>
              <w:bottom w:val="single" w:sz="4" w:space="0" w:color="auto"/>
              <w:right w:val="single" w:sz="4" w:space="0" w:color="auto"/>
            </w:tcBorders>
          </w:tcPr>
          <w:p w:rsidR="002F1256" w:rsidRDefault="002F025B">
            <w:pPr>
              <w:pStyle w:val="1"/>
              <w:rPr>
                <w:b/>
                <w:bCs/>
              </w:rPr>
            </w:pPr>
            <w:r>
              <w:rPr>
                <w:b/>
                <w:bCs/>
              </w:rPr>
              <w:t>TU Estimate</w:t>
            </w:r>
          </w:p>
          <w:p w:rsidR="002F1256" w:rsidRDefault="002F025B">
            <w:pPr>
              <w:pStyle w:val="1"/>
              <w:rPr>
                <w:b/>
                <w:bCs/>
              </w:rPr>
            </w:pPr>
            <w:r>
              <w:rPr>
                <w:b/>
                <w:bCs/>
              </w:rPr>
              <w:t>(Study)</w:t>
            </w:r>
          </w:p>
        </w:tc>
        <w:tc>
          <w:tcPr>
            <w:tcW w:w="1553" w:type="dxa"/>
            <w:tcBorders>
              <w:top w:val="single" w:sz="4" w:space="0" w:color="auto"/>
              <w:left w:val="single" w:sz="4" w:space="0" w:color="auto"/>
              <w:bottom w:val="single" w:sz="4" w:space="0" w:color="auto"/>
              <w:right w:val="single" w:sz="4" w:space="0" w:color="auto"/>
            </w:tcBorders>
          </w:tcPr>
          <w:p w:rsidR="002F1256" w:rsidRDefault="002F025B">
            <w:pPr>
              <w:pStyle w:val="1"/>
              <w:rPr>
                <w:b/>
                <w:bCs/>
              </w:rPr>
            </w:pPr>
            <w:r>
              <w:rPr>
                <w:b/>
                <w:bCs/>
              </w:rPr>
              <w:t>TU Estimate</w:t>
            </w:r>
          </w:p>
          <w:p w:rsidR="002F1256" w:rsidRDefault="002F025B">
            <w:pPr>
              <w:pStyle w:val="1"/>
              <w:rPr>
                <w:b/>
                <w:bCs/>
              </w:rPr>
            </w:pPr>
            <w:r>
              <w:rPr>
                <w:b/>
                <w:bCs/>
              </w:rPr>
              <w:t>(Normative)</w:t>
            </w:r>
          </w:p>
        </w:tc>
        <w:tc>
          <w:tcPr>
            <w:tcW w:w="1883" w:type="dxa"/>
            <w:tcBorders>
              <w:top w:val="single" w:sz="4" w:space="0" w:color="auto"/>
              <w:left w:val="single" w:sz="4" w:space="0" w:color="auto"/>
              <w:bottom w:val="single" w:sz="4" w:space="0" w:color="auto"/>
              <w:right w:val="single" w:sz="4" w:space="0" w:color="auto"/>
            </w:tcBorders>
          </w:tcPr>
          <w:p w:rsidR="002F1256" w:rsidRDefault="002F025B">
            <w:pPr>
              <w:pStyle w:val="1"/>
              <w:rPr>
                <w:b/>
                <w:bCs/>
              </w:rPr>
            </w:pPr>
            <w:r>
              <w:rPr>
                <w:b/>
                <w:bCs/>
              </w:rPr>
              <w:t>RAN Dependency</w:t>
            </w:r>
          </w:p>
          <w:p w:rsidR="002F1256" w:rsidRDefault="002F025B">
            <w:pPr>
              <w:pStyle w:val="1"/>
              <w:rPr>
                <w:b/>
                <w:bCs/>
              </w:rPr>
            </w:pPr>
            <w:r>
              <w:rPr>
                <w:b/>
                <w:bCs/>
              </w:rPr>
              <w:t xml:space="preserve">(Yes/No/Maybe) </w:t>
            </w:r>
          </w:p>
        </w:tc>
        <w:tc>
          <w:tcPr>
            <w:tcW w:w="1883" w:type="dxa"/>
            <w:tcBorders>
              <w:top w:val="single" w:sz="4" w:space="0" w:color="auto"/>
              <w:left w:val="single" w:sz="4" w:space="0" w:color="auto"/>
              <w:bottom w:val="single" w:sz="4" w:space="0" w:color="auto"/>
              <w:right w:val="single" w:sz="4" w:space="0" w:color="auto"/>
            </w:tcBorders>
          </w:tcPr>
          <w:p w:rsidR="002F1256" w:rsidRDefault="002F025B">
            <w:pPr>
              <w:pStyle w:val="1"/>
              <w:rPr>
                <w:b/>
                <w:bCs/>
              </w:rPr>
            </w:pPr>
            <w:r>
              <w:rPr>
                <w:b/>
                <w:bCs/>
              </w:rPr>
              <w:t>SA Dependency</w:t>
            </w:r>
          </w:p>
          <w:p w:rsidR="002F1256" w:rsidRDefault="002F025B">
            <w:pPr>
              <w:pStyle w:val="1"/>
              <w:rPr>
                <w:b/>
                <w:bCs/>
              </w:rPr>
            </w:pPr>
            <w:r>
              <w:rPr>
                <w:b/>
                <w:bCs/>
              </w:rPr>
              <w:t>(Yes/No/Maybe)</w:t>
            </w:r>
          </w:p>
        </w:tc>
      </w:tr>
      <w:tr w:rsidR="002F1256">
        <w:trPr>
          <w:jc w:val="center"/>
        </w:trPr>
        <w:tc>
          <w:tcPr>
            <w:tcW w:w="1653" w:type="dxa"/>
            <w:tcBorders>
              <w:top w:val="single" w:sz="4" w:space="0" w:color="auto"/>
              <w:left w:val="single" w:sz="4" w:space="0" w:color="auto"/>
              <w:bottom w:val="single" w:sz="4" w:space="0" w:color="auto"/>
              <w:right w:val="single" w:sz="4" w:space="0" w:color="auto"/>
            </w:tcBorders>
          </w:tcPr>
          <w:p w:rsidR="002F1256" w:rsidRDefault="000A6F94">
            <w:pPr>
              <w:pStyle w:val="1"/>
            </w:pPr>
            <w:r>
              <w:t>WT</w:t>
            </w:r>
            <w:r w:rsidR="002F025B">
              <w:t>#1</w:t>
            </w:r>
          </w:p>
        </w:tc>
        <w:tc>
          <w:tcPr>
            <w:tcW w:w="1533" w:type="dxa"/>
            <w:tcBorders>
              <w:top w:val="single" w:sz="4" w:space="0" w:color="auto"/>
              <w:left w:val="single" w:sz="4" w:space="0" w:color="auto"/>
              <w:bottom w:val="single" w:sz="4" w:space="0" w:color="auto"/>
              <w:right w:val="single" w:sz="4" w:space="0" w:color="auto"/>
            </w:tcBorders>
          </w:tcPr>
          <w:p w:rsidR="002F1256" w:rsidRDefault="002F025B">
            <w:pPr>
              <w:pStyle w:val="1"/>
            </w:pPr>
            <w:r>
              <w:t>1</w:t>
            </w:r>
          </w:p>
        </w:tc>
        <w:tc>
          <w:tcPr>
            <w:tcW w:w="1553" w:type="dxa"/>
            <w:tcBorders>
              <w:top w:val="single" w:sz="4" w:space="0" w:color="auto"/>
              <w:left w:val="single" w:sz="4" w:space="0" w:color="auto"/>
              <w:bottom w:val="single" w:sz="4" w:space="0" w:color="auto"/>
              <w:right w:val="single" w:sz="4" w:space="0" w:color="auto"/>
            </w:tcBorders>
          </w:tcPr>
          <w:p w:rsidR="002F1256" w:rsidRDefault="002F025B">
            <w:pPr>
              <w:pStyle w:val="1"/>
            </w:pPr>
            <w:r>
              <w:t>1</w:t>
            </w:r>
          </w:p>
        </w:tc>
        <w:tc>
          <w:tcPr>
            <w:tcW w:w="1883" w:type="dxa"/>
            <w:tcBorders>
              <w:top w:val="single" w:sz="4" w:space="0" w:color="auto"/>
              <w:left w:val="single" w:sz="4" w:space="0" w:color="auto"/>
              <w:bottom w:val="single" w:sz="4" w:space="0" w:color="auto"/>
              <w:right w:val="single" w:sz="4" w:space="0" w:color="auto"/>
            </w:tcBorders>
          </w:tcPr>
          <w:p w:rsidR="002F1256" w:rsidRDefault="002F025B" w:rsidP="00CE3949">
            <w:pPr>
              <w:pStyle w:val="1"/>
            </w:pPr>
            <w:r>
              <w:t>Maybe</w:t>
            </w:r>
          </w:p>
        </w:tc>
        <w:tc>
          <w:tcPr>
            <w:tcW w:w="1883" w:type="dxa"/>
            <w:tcBorders>
              <w:top w:val="single" w:sz="4" w:space="0" w:color="auto"/>
              <w:left w:val="single" w:sz="4" w:space="0" w:color="auto"/>
              <w:bottom w:val="single" w:sz="4" w:space="0" w:color="auto"/>
              <w:right w:val="single" w:sz="4" w:space="0" w:color="auto"/>
            </w:tcBorders>
          </w:tcPr>
          <w:p w:rsidR="002F1256" w:rsidRDefault="002F025B">
            <w:pPr>
              <w:pStyle w:val="1"/>
            </w:pPr>
            <w:r>
              <w:t>Yes(SA2)</w:t>
            </w:r>
          </w:p>
        </w:tc>
      </w:tr>
      <w:tr w:rsidR="002F1256">
        <w:trPr>
          <w:jc w:val="center"/>
        </w:trPr>
        <w:tc>
          <w:tcPr>
            <w:tcW w:w="1653" w:type="dxa"/>
            <w:tcBorders>
              <w:top w:val="single" w:sz="4" w:space="0" w:color="auto"/>
              <w:left w:val="single" w:sz="4" w:space="0" w:color="auto"/>
              <w:bottom w:val="single" w:sz="4" w:space="0" w:color="auto"/>
              <w:right w:val="single" w:sz="4" w:space="0" w:color="auto"/>
            </w:tcBorders>
          </w:tcPr>
          <w:p w:rsidR="002F1256" w:rsidRDefault="000A6F94">
            <w:pPr>
              <w:pStyle w:val="1"/>
            </w:pPr>
            <w:r>
              <w:t>WT</w:t>
            </w:r>
            <w:r w:rsidR="002F025B">
              <w:t>#2</w:t>
            </w:r>
          </w:p>
        </w:tc>
        <w:tc>
          <w:tcPr>
            <w:tcW w:w="1533" w:type="dxa"/>
            <w:tcBorders>
              <w:top w:val="single" w:sz="4" w:space="0" w:color="auto"/>
              <w:left w:val="single" w:sz="4" w:space="0" w:color="auto"/>
              <w:bottom w:val="single" w:sz="4" w:space="0" w:color="auto"/>
              <w:right w:val="single" w:sz="4" w:space="0" w:color="auto"/>
            </w:tcBorders>
          </w:tcPr>
          <w:p w:rsidR="002F1256" w:rsidRDefault="002F025B">
            <w:pPr>
              <w:pStyle w:val="1"/>
            </w:pPr>
            <w:r>
              <w:t>0.5</w:t>
            </w:r>
          </w:p>
        </w:tc>
        <w:tc>
          <w:tcPr>
            <w:tcW w:w="1553" w:type="dxa"/>
            <w:tcBorders>
              <w:top w:val="single" w:sz="4" w:space="0" w:color="auto"/>
              <w:left w:val="single" w:sz="4" w:space="0" w:color="auto"/>
              <w:bottom w:val="single" w:sz="4" w:space="0" w:color="auto"/>
              <w:right w:val="single" w:sz="4" w:space="0" w:color="auto"/>
            </w:tcBorders>
          </w:tcPr>
          <w:p w:rsidR="002F1256" w:rsidRDefault="002F025B">
            <w:pPr>
              <w:pStyle w:val="1"/>
            </w:pPr>
            <w:r>
              <w:t>0.5</w:t>
            </w:r>
          </w:p>
        </w:tc>
        <w:tc>
          <w:tcPr>
            <w:tcW w:w="1883" w:type="dxa"/>
            <w:tcBorders>
              <w:top w:val="single" w:sz="4" w:space="0" w:color="auto"/>
              <w:left w:val="single" w:sz="4" w:space="0" w:color="auto"/>
              <w:bottom w:val="single" w:sz="4" w:space="0" w:color="auto"/>
              <w:right w:val="single" w:sz="4" w:space="0" w:color="auto"/>
            </w:tcBorders>
          </w:tcPr>
          <w:p w:rsidR="002F1256" w:rsidRDefault="002F025B" w:rsidP="00CE3949">
            <w:pPr>
              <w:pStyle w:val="1"/>
            </w:pPr>
            <w:r>
              <w:t>Maybe</w:t>
            </w:r>
          </w:p>
        </w:tc>
        <w:tc>
          <w:tcPr>
            <w:tcW w:w="1883" w:type="dxa"/>
            <w:tcBorders>
              <w:top w:val="single" w:sz="4" w:space="0" w:color="auto"/>
              <w:left w:val="single" w:sz="4" w:space="0" w:color="auto"/>
              <w:bottom w:val="single" w:sz="4" w:space="0" w:color="auto"/>
              <w:right w:val="single" w:sz="4" w:space="0" w:color="auto"/>
            </w:tcBorders>
          </w:tcPr>
          <w:p w:rsidR="002F1256" w:rsidRDefault="002F025B">
            <w:pPr>
              <w:pStyle w:val="1"/>
            </w:pPr>
            <w:r>
              <w:t>Yes(SA2)</w:t>
            </w:r>
          </w:p>
        </w:tc>
      </w:tr>
      <w:tr w:rsidR="002F1256">
        <w:trPr>
          <w:jc w:val="center"/>
        </w:trPr>
        <w:tc>
          <w:tcPr>
            <w:tcW w:w="1653" w:type="dxa"/>
            <w:tcBorders>
              <w:top w:val="single" w:sz="4" w:space="0" w:color="auto"/>
              <w:left w:val="single" w:sz="4" w:space="0" w:color="auto"/>
              <w:bottom w:val="single" w:sz="4" w:space="0" w:color="auto"/>
              <w:right w:val="single" w:sz="4" w:space="0" w:color="auto"/>
            </w:tcBorders>
          </w:tcPr>
          <w:p w:rsidR="002F1256" w:rsidRDefault="000A6F94">
            <w:pPr>
              <w:pStyle w:val="1"/>
            </w:pPr>
            <w:r>
              <w:lastRenderedPageBreak/>
              <w:t>WT</w:t>
            </w:r>
            <w:r w:rsidR="002F025B">
              <w:t>#3</w:t>
            </w:r>
          </w:p>
        </w:tc>
        <w:tc>
          <w:tcPr>
            <w:tcW w:w="1533" w:type="dxa"/>
            <w:tcBorders>
              <w:top w:val="single" w:sz="4" w:space="0" w:color="auto"/>
              <w:left w:val="single" w:sz="4" w:space="0" w:color="auto"/>
              <w:bottom w:val="single" w:sz="4" w:space="0" w:color="auto"/>
              <w:right w:val="single" w:sz="4" w:space="0" w:color="auto"/>
            </w:tcBorders>
          </w:tcPr>
          <w:p w:rsidR="002F1256" w:rsidRDefault="002F025B">
            <w:pPr>
              <w:pStyle w:val="1"/>
            </w:pPr>
            <w:r>
              <w:t>0.5</w:t>
            </w:r>
          </w:p>
        </w:tc>
        <w:tc>
          <w:tcPr>
            <w:tcW w:w="1553" w:type="dxa"/>
            <w:tcBorders>
              <w:top w:val="single" w:sz="4" w:space="0" w:color="auto"/>
              <w:left w:val="single" w:sz="4" w:space="0" w:color="auto"/>
              <w:bottom w:val="single" w:sz="4" w:space="0" w:color="auto"/>
              <w:right w:val="single" w:sz="4" w:space="0" w:color="auto"/>
            </w:tcBorders>
          </w:tcPr>
          <w:p w:rsidR="002F1256" w:rsidRDefault="002F025B">
            <w:pPr>
              <w:pStyle w:val="1"/>
            </w:pPr>
            <w:r>
              <w:t>0.5</w:t>
            </w:r>
          </w:p>
        </w:tc>
        <w:tc>
          <w:tcPr>
            <w:tcW w:w="1883" w:type="dxa"/>
            <w:tcBorders>
              <w:top w:val="single" w:sz="4" w:space="0" w:color="auto"/>
              <w:left w:val="single" w:sz="4" w:space="0" w:color="auto"/>
              <w:bottom w:val="single" w:sz="4" w:space="0" w:color="auto"/>
              <w:right w:val="single" w:sz="4" w:space="0" w:color="auto"/>
            </w:tcBorders>
          </w:tcPr>
          <w:p w:rsidR="002F1256" w:rsidRDefault="002F025B" w:rsidP="00CE3949">
            <w:pPr>
              <w:pStyle w:val="1"/>
            </w:pPr>
            <w:r>
              <w:t>Maybe</w:t>
            </w:r>
          </w:p>
        </w:tc>
        <w:tc>
          <w:tcPr>
            <w:tcW w:w="1883" w:type="dxa"/>
            <w:tcBorders>
              <w:top w:val="single" w:sz="4" w:space="0" w:color="auto"/>
              <w:left w:val="single" w:sz="4" w:space="0" w:color="auto"/>
              <w:bottom w:val="single" w:sz="4" w:space="0" w:color="auto"/>
              <w:right w:val="single" w:sz="4" w:space="0" w:color="auto"/>
            </w:tcBorders>
          </w:tcPr>
          <w:p w:rsidR="002F1256" w:rsidRDefault="002F025B">
            <w:pPr>
              <w:pStyle w:val="1"/>
            </w:pPr>
            <w:r>
              <w:t>Yes(SA2)</w:t>
            </w:r>
          </w:p>
        </w:tc>
      </w:tr>
      <w:tr w:rsidR="002F1256">
        <w:trPr>
          <w:jc w:val="center"/>
        </w:trPr>
        <w:tc>
          <w:tcPr>
            <w:tcW w:w="1653" w:type="dxa"/>
            <w:tcBorders>
              <w:top w:val="single" w:sz="4" w:space="0" w:color="auto"/>
              <w:left w:val="single" w:sz="4" w:space="0" w:color="auto"/>
              <w:bottom w:val="single" w:sz="4" w:space="0" w:color="auto"/>
              <w:right w:val="single" w:sz="4" w:space="0" w:color="auto"/>
            </w:tcBorders>
          </w:tcPr>
          <w:p w:rsidR="002F1256" w:rsidRDefault="000A6F94">
            <w:pPr>
              <w:pStyle w:val="1"/>
            </w:pPr>
            <w:r>
              <w:t>WT</w:t>
            </w:r>
            <w:r w:rsidR="002F025B">
              <w:t>#4</w:t>
            </w:r>
          </w:p>
        </w:tc>
        <w:tc>
          <w:tcPr>
            <w:tcW w:w="1533" w:type="dxa"/>
            <w:tcBorders>
              <w:top w:val="single" w:sz="4" w:space="0" w:color="auto"/>
              <w:left w:val="single" w:sz="4" w:space="0" w:color="auto"/>
              <w:bottom w:val="single" w:sz="4" w:space="0" w:color="auto"/>
              <w:right w:val="single" w:sz="4" w:space="0" w:color="auto"/>
            </w:tcBorders>
          </w:tcPr>
          <w:p w:rsidR="002F1256" w:rsidRDefault="002F025B">
            <w:pPr>
              <w:pStyle w:val="1"/>
            </w:pPr>
            <w:r>
              <w:t>0.5</w:t>
            </w:r>
          </w:p>
        </w:tc>
        <w:tc>
          <w:tcPr>
            <w:tcW w:w="1553" w:type="dxa"/>
            <w:tcBorders>
              <w:top w:val="single" w:sz="4" w:space="0" w:color="auto"/>
              <w:left w:val="single" w:sz="4" w:space="0" w:color="auto"/>
              <w:bottom w:val="single" w:sz="4" w:space="0" w:color="auto"/>
              <w:right w:val="single" w:sz="4" w:space="0" w:color="auto"/>
            </w:tcBorders>
          </w:tcPr>
          <w:p w:rsidR="002F1256" w:rsidRDefault="002F025B">
            <w:pPr>
              <w:pStyle w:val="1"/>
            </w:pPr>
            <w:r>
              <w:t>0.5</w:t>
            </w:r>
          </w:p>
        </w:tc>
        <w:tc>
          <w:tcPr>
            <w:tcW w:w="1883" w:type="dxa"/>
            <w:tcBorders>
              <w:top w:val="single" w:sz="4" w:space="0" w:color="auto"/>
              <w:left w:val="single" w:sz="4" w:space="0" w:color="auto"/>
              <w:bottom w:val="single" w:sz="4" w:space="0" w:color="auto"/>
              <w:right w:val="single" w:sz="4" w:space="0" w:color="auto"/>
            </w:tcBorders>
          </w:tcPr>
          <w:p w:rsidR="002F1256" w:rsidRDefault="002F025B">
            <w:pPr>
              <w:pStyle w:val="1"/>
            </w:pPr>
            <w:r>
              <w:t>No</w:t>
            </w:r>
          </w:p>
        </w:tc>
        <w:tc>
          <w:tcPr>
            <w:tcW w:w="1883" w:type="dxa"/>
            <w:tcBorders>
              <w:top w:val="single" w:sz="4" w:space="0" w:color="auto"/>
              <w:left w:val="single" w:sz="4" w:space="0" w:color="auto"/>
              <w:bottom w:val="single" w:sz="4" w:space="0" w:color="auto"/>
              <w:right w:val="single" w:sz="4" w:space="0" w:color="auto"/>
            </w:tcBorders>
          </w:tcPr>
          <w:p w:rsidR="002F1256" w:rsidRDefault="002F025B">
            <w:pPr>
              <w:pStyle w:val="1"/>
            </w:pPr>
            <w:r>
              <w:t>No</w:t>
            </w:r>
          </w:p>
        </w:tc>
      </w:tr>
      <w:tr w:rsidR="002F1256">
        <w:trPr>
          <w:jc w:val="center"/>
        </w:trPr>
        <w:tc>
          <w:tcPr>
            <w:tcW w:w="1653" w:type="dxa"/>
            <w:tcBorders>
              <w:top w:val="single" w:sz="4" w:space="0" w:color="auto"/>
              <w:left w:val="single" w:sz="4" w:space="0" w:color="auto"/>
              <w:bottom w:val="single" w:sz="4" w:space="0" w:color="auto"/>
              <w:right w:val="single" w:sz="4" w:space="0" w:color="auto"/>
            </w:tcBorders>
          </w:tcPr>
          <w:p w:rsidR="002F1256" w:rsidRDefault="000A6F94">
            <w:pPr>
              <w:pStyle w:val="1"/>
            </w:pPr>
            <w:r>
              <w:t>WT</w:t>
            </w:r>
            <w:r w:rsidR="002F025B">
              <w:t>#5</w:t>
            </w:r>
          </w:p>
        </w:tc>
        <w:tc>
          <w:tcPr>
            <w:tcW w:w="1533" w:type="dxa"/>
            <w:tcBorders>
              <w:top w:val="single" w:sz="4" w:space="0" w:color="auto"/>
              <w:left w:val="single" w:sz="4" w:space="0" w:color="auto"/>
              <w:bottom w:val="single" w:sz="4" w:space="0" w:color="auto"/>
              <w:right w:val="single" w:sz="4" w:space="0" w:color="auto"/>
            </w:tcBorders>
          </w:tcPr>
          <w:p w:rsidR="002F1256" w:rsidRDefault="002F025B">
            <w:pPr>
              <w:pStyle w:val="1"/>
            </w:pPr>
            <w:r>
              <w:t>0.5</w:t>
            </w:r>
          </w:p>
        </w:tc>
        <w:tc>
          <w:tcPr>
            <w:tcW w:w="1553" w:type="dxa"/>
            <w:tcBorders>
              <w:top w:val="single" w:sz="4" w:space="0" w:color="auto"/>
              <w:left w:val="single" w:sz="4" w:space="0" w:color="auto"/>
              <w:bottom w:val="single" w:sz="4" w:space="0" w:color="auto"/>
              <w:right w:val="single" w:sz="4" w:space="0" w:color="auto"/>
            </w:tcBorders>
          </w:tcPr>
          <w:p w:rsidR="002F1256" w:rsidRDefault="002F025B">
            <w:pPr>
              <w:pStyle w:val="1"/>
            </w:pPr>
            <w:r>
              <w:t>0.5</w:t>
            </w:r>
          </w:p>
        </w:tc>
        <w:tc>
          <w:tcPr>
            <w:tcW w:w="1883" w:type="dxa"/>
            <w:tcBorders>
              <w:top w:val="single" w:sz="4" w:space="0" w:color="auto"/>
              <w:left w:val="single" w:sz="4" w:space="0" w:color="auto"/>
              <w:bottom w:val="single" w:sz="4" w:space="0" w:color="auto"/>
              <w:right w:val="single" w:sz="4" w:space="0" w:color="auto"/>
            </w:tcBorders>
          </w:tcPr>
          <w:p w:rsidR="002F1256" w:rsidRDefault="002F025B">
            <w:pPr>
              <w:pStyle w:val="1"/>
            </w:pPr>
            <w:r>
              <w:t>No</w:t>
            </w:r>
          </w:p>
        </w:tc>
        <w:tc>
          <w:tcPr>
            <w:tcW w:w="1883" w:type="dxa"/>
            <w:tcBorders>
              <w:top w:val="single" w:sz="4" w:space="0" w:color="auto"/>
              <w:left w:val="single" w:sz="4" w:space="0" w:color="auto"/>
              <w:bottom w:val="single" w:sz="4" w:space="0" w:color="auto"/>
              <w:right w:val="single" w:sz="4" w:space="0" w:color="auto"/>
            </w:tcBorders>
          </w:tcPr>
          <w:p w:rsidR="002F1256" w:rsidRDefault="002F025B">
            <w:pPr>
              <w:pStyle w:val="1"/>
            </w:pPr>
            <w:r>
              <w:t>No</w:t>
            </w:r>
          </w:p>
        </w:tc>
      </w:tr>
    </w:tbl>
    <w:p w:rsidR="002F1256" w:rsidRDefault="002F1256">
      <w:pPr>
        <w:rPr>
          <w:b/>
        </w:rPr>
      </w:pPr>
    </w:p>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rsidR="002F1256" w:rsidRDefault="002F025B">
      <w:pPr>
        <w:rPr>
          <w:b/>
          <w:bCs/>
          <w:i/>
          <w:iCs/>
        </w:rPr>
      </w:pPr>
      <w:r>
        <w:rPr>
          <w:b/>
          <w:bCs/>
          <w:i/>
          <w:iCs/>
        </w:rPr>
        <w:t>{If this WID covers both stage 2 and stage 3, clearly indicate the different completion dates.}</w:t>
      </w:r>
    </w:p>
    <w:p w:rsidR="002F1256" w:rsidRDefault="002F12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F1256">
        <w:trPr>
          <w:cantSplit/>
          <w:jc w:val="center"/>
        </w:trPr>
        <w:tc>
          <w:tcPr>
            <w:tcW w:w="9413" w:type="dxa"/>
            <w:gridSpan w:val="6"/>
            <w:shd w:val="clear" w:color="auto" w:fill="D9D9D9"/>
            <w:tcMar>
              <w:left w:w="57" w:type="dxa"/>
              <w:right w:w="57" w:type="dxa"/>
            </w:tcMar>
          </w:tcPr>
          <w:p w:rsidR="002F1256" w:rsidRDefault="002F025B">
            <w:pPr>
              <w:pStyle w:val="TAH"/>
            </w:pPr>
            <w:r>
              <w:t>New specifications {One line per specification. Create/delete lines as needed}</w:t>
            </w:r>
          </w:p>
        </w:tc>
      </w:tr>
      <w:tr w:rsidR="002F1256">
        <w:trPr>
          <w:cantSplit/>
          <w:jc w:val="center"/>
        </w:trPr>
        <w:tc>
          <w:tcPr>
            <w:tcW w:w="1617" w:type="dxa"/>
            <w:shd w:val="clear" w:color="auto" w:fill="D9D9D9"/>
            <w:tcMar>
              <w:left w:w="57" w:type="dxa"/>
              <w:right w:w="57" w:type="dxa"/>
            </w:tcMar>
          </w:tcPr>
          <w:p w:rsidR="002F1256" w:rsidRDefault="002F025B">
            <w:pPr>
              <w:pStyle w:val="TAH"/>
            </w:pPr>
            <w:r>
              <w:t xml:space="preserve">Type </w:t>
            </w:r>
          </w:p>
        </w:tc>
        <w:tc>
          <w:tcPr>
            <w:tcW w:w="1134" w:type="dxa"/>
            <w:shd w:val="clear" w:color="auto" w:fill="D9D9D9"/>
            <w:tcMar>
              <w:left w:w="57" w:type="dxa"/>
              <w:right w:w="57" w:type="dxa"/>
            </w:tcMar>
          </w:tcPr>
          <w:p w:rsidR="002F1256" w:rsidRDefault="002F025B">
            <w:pPr>
              <w:pStyle w:val="TAH"/>
            </w:pPr>
            <w:r>
              <w:t>TS/TR number</w:t>
            </w:r>
          </w:p>
        </w:tc>
        <w:tc>
          <w:tcPr>
            <w:tcW w:w="2409" w:type="dxa"/>
            <w:shd w:val="clear" w:color="auto" w:fill="D9D9D9"/>
            <w:tcMar>
              <w:left w:w="57" w:type="dxa"/>
              <w:right w:w="57" w:type="dxa"/>
            </w:tcMar>
          </w:tcPr>
          <w:p w:rsidR="002F1256" w:rsidRDefault="002F025B">
            <w:pPr>
              <w:pStyle w:val="TAH"/>
            </w:pPr>
            <w:r>
              <w:t>Title</w:t>
            </w:r>
          </w:p>
        </w:tc>
        <w:tc>
          <w:tcPr>
            <w:tcW w:w="993" w:type="dxa"/>
            <w:shd w:val="clear" w:color="auto" w:fill="D9D9D9"/>
            <w:tcMar>
              <w:left w:w="57" w:type="dxa"/>
              <w:right w:w="57" w:type="dxa"/>
            </w:tcMar>
          </w:tcPr>
          <w:p w:rsidR="002F1256" w:rsidRDefault="002F025B">
            <w:pPr>
              <w:pStyle w:val="TAH"/>
            </w:pPr>
            <w:r>
              <w:t xml:space="preserve">For info </w:t>
            </w:r>
            <w:r>
              <w:br/>
              <w:t xml:space="preserve">at TSG# </w:t>
            </w:r>
          </w:p>
        </w:tc>
        <w:tc>
          <w:tcPr>
            <w:tcW w:w="1074" w:type="dxa"/>
            <w:shd w:val="clear" w:color="auto" w:fill="D9D9D9"/>
            <w:tcMar>
              <w:left w:w="57" w:type="dxa"/>
              <w:right w:w="57" w:type="dxa"/>
            </w:tcMar>
          </w:tcPr>
          <w:p w:rsidR="002F1256" w:rsidRDefault="002F025B">
            <w:pPr>
              <w:pStyle w:val="TAH"/>
            </w:pPr>
            <w:r>
              <w:t>For approval at TSG#</w:t>
            </w:r>
          </w:p>
        </w:tc>
        <w:tc>
          <w:tcPr>
            <w:tcW w:w="2186" w:type="dxa"/>
            <w:shd w:val="clear" w:color="auto" w:fill="D9D9D9"/>
            <w:tcMar>
              <w:left w:w="57" w:type="dxa"/>
              <w:right w:w="57" w:type="dxa"/>
            </w:tcMar>
          </w:tcPr>
          <w:p w:rsidR="002F1256" w:rsidRDefault="002F025B">
            <w:pPr>
              <w:pStyle w:val="TAH"/>
            </w:pPr>
            <w:r>
              <w:t>Rapporteur</w:t>
            </w:r>
          </w:p>
        </w:tc>
      </w:tr>
      <w:tr w:rsidR="002F1256">
        <w:trPr>
          <w:cantSplit/>
          <w:jc w:val="center"/>
        </w:trPr>
        <w:tc>
          <w:tcPr>
            <w:tcW w:w="1617" w:type="dxa"/>
          </w:tcPr>
          <w:p w:rsidR="002F1256" w:rsidRDefault="002F025B">
            <w:pPr>
              <w:pStyle w:val="Guidance"/>
              <w:spacing w:after="0"/>
              <w:rPr>
                <w:i w:val="0"/>
                <w:lang w:eastAsia="zh-CN"/>
              </w:rPr>
            </w:pPr>
            <w:r>
              <w:rPr>
                <w:i w:val="0"/>
              </w:rPr>
              <w:t>Internal TR</w:t>
            </w:r>
          </w:p>
          <w:p w:rsidR="002F1256" w:rsidRDefault="002F1256">
            <w:pPr>
              <w:pStyle w:val="Guidance"/>
              <w:spacing w:after="0"/>
              <w:jc w:val="center"/>
            </w:pPr>
          </w:p>
        </w:tc>
        <w:tc>
          <w:tcPr>
            <w:tcW w:w="1134" w:type="dxa"/>
          </w:tcPr>
          <w:p w:rsidR="002F1256" w:rsidRDefault="002F025B">
            <w:pPr>
              <w:pStyle w:val="Guidance"/>
              <w:spacing w:after="0"/>
            </w:pPr>
            <w:r>
              <w:rPr>
                <w:i w:val="0"/>
              </w:rPr>
              <w:t>28.9XX</w:t>
            </w:r>
          </w:p>
        </w:tc>
        <w:tc>
          <w:tcPr>
            <w:tcW w:w="2409" w:type="dxa"/>
          </w:tcPr>
          <w:p w:rsidR="002F1256" w:rsidRDefault="002F025B">
            <w:pPr>
              <w:pStyle w:val="Guidance"/>
              <w:spacing w:after="0"/>
            </w:pPr>
            <w:r>
              <w:rPr>
                <w:i w:val="0"/>
              </w:rPr>
              <w:t>Study on Management aspects of Integrated Sensing and Communication</w:t>
            </w:r>
          </w:p>
        </w:tc>
        <w:tc>
          <w:tcPr>
            <w:tcW w:w="993" w:type="dxa"/>
          </w:tcPr>
          <w:p w:rsidR="002F1256" w:rsidRDefault="002F025B">
            <w:pPr>
              <w:pStyle w:val="Guidance"/>
              <w:rPr>
                <w:i w:val="0"/>
              </w:rPr>
            </w:pPr>
            <w:r>
              <w:rPr>
                <w:i w:val="0"/>
              </w:rPr>
              <w:t>TSG#105</w:t>
            </w:r>
          </w:p>
          <w:p w:rsidR="002F1256" w:rsidRDefault="002F025B">
            <w:pPr>
              <w:pStyle w:val="Guidance"/>
            </w:pPr>
            <w:r>
              <w:rPr>
                <w:i w:val="0"/>
              </w:rPr>
              <w:t>(Sept. 2024)</w:t>
            </w:r>
          </w:p>
        </w:tc>
        <w:tc>
          <w:tcPr>
            <w:tcW w:w="1074" w:type="dxa"/>
          </w:tcPr>
          <w:p w:rsidR="002F1256" w:rsidRDefault="002F025B">
            <w:pPr>
              <w:pStyle w:val="Guidance"/>
              <w:rPr>
                <w:i w:val="0"/>
              </w:rPr>
            </w:pPr>
            <w:r>
              <w:rPr>
                <w:i w:val="0"/>
              </w:rPr>
              <w:t>TSG#106</w:t>
            </w:r>
          </w:p>
          <w:p w:rsidR="002F1256" w:rsidRDefault="002F025B">
            <w:pPr>
              <w:pStyle w:val="Guidance"/>
              <w:spacing w:after="0"/>
            </w:pPr>
            <w:r>
              <w:rPr>
                <w:i w:val="0"/>
              </w:rPr>
              <w:t>(</w:t>
            </w:r>
            <w:r>
              <w:rPr>
                <w:rFonts w:hint="eastAsia"/>
                <w:i w:val="0"/>
                <w:lang w:eastAsia="zh-CN"/>
              </w:rPr>
              <w:t>D</w:t>
            </w:r>
            <w:r>
              <w:rPr>
                <w:i w:val="0"/>
                <w:lang w:eastAsia="zh-CN"/>
              </w:rPr>
              <w:t>ec.</w:t>
            </w:r>
            <w:r>
              <w:rPr>
                <w:i w:val="0"/>
              </w:rPr>
              <w:t xml:space="preserve"> 2024)</w:t>
            </w:r>
          </w:p>
        </w:tc>
        <w:tc>
          <w:tcPr>
            <w:tcW w:w="2186" w:type="dxa"/>
          </w:tcPr>
          <w:p w:rsidR="002F1256" w:rsidRDefault="002F025B">
            <w:pPr>
              <w:pStyle w:val="Guidance"/>
              <w:spacing w:after="0"/>
              <w:rPr>
                <w:i w:val="0"/>
                <w:lang w:eastAsia="zh-CN"/>
              </w:rPr>
            </w:pPr>
            <w:r>
              <w:rPr>
                <w:rFonts w:hint="eastAsia"/>
                <w:i w:val="0"/>
                <w:lang w:eastAsia="zh-CN"/>
              </w:rPr>
              <w:t>TBD</w:t>
            </w:r>
          </w:p>
          <w:p w:rsidR="002F1256" w:rsidRDefault="002F1256">
            <w:pPr>
              <w:pStyle w:val="Guidance"/>
              <w:spacing w:after="0"/>
            </w:pPr>
          </w:p>
        </w:tc>
      </w:tr>
    </w:tbl>
    <w:p w:rsidR="002F1256" w:rsidRDefault="002F1256">
      <w:pPr>
        <w:pStyle w:val="FP"/>
      </w:pPr>
    </w:p>
    <w:p w:rsidR="002F1256" w:rsidRDefault="002F1256">
      <w:pPr>
        <w:pStyle w:val="Guidance"/>
      </w:pPr>
    </w:p>
    <w:p w:rsidR="002F1256" w:rsidRDefault="002F1256"/>
    <w:tbl>
      <w:tblPr>
        <w:tblW w:w="0" w:type="auto"/>
        <w:jc w:val="center"/>
        <w:tblLayout w:type="fixed"/>
        <w:tblLook w:val="04A0" w:firstRow="1" w:lastRow="0" w:firstColumn="1" w:lastColumn="0" w:noHBand="0" w:noVBand="1"/>
      </w:tblPr>
      <w:tblGrid>
        <w:gridCol w:w="1445"/>
        <w:gridCol w:w="4344"/>
        <w:gridCol w:w="1417"/>
        <w:gridCol w:w="2101"/>
      </w:tblGrid>
      <w:tr w:rsidR="002F125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2F1256" w:rsidRDefault="002F025B">
            <w:pPr>
              <w:pStyle w:val="TAH"/>
            </w:pPr>
            <w:r>
              <w:t>Impacted existing TS/TR {One line per specification. Create/delete lines as needed}</w:t>
            </w:r>
          </w:p>
        </w:tc>
      </w:tr>
      <w:tr w:rsidR="002F125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2F1256" w:rsidRDefault="002F025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2F1256" w:rsidRDefault="002F025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2F1256" w:rsidRDefault="002F025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2F1256" w:rsidRDefault="002F025B">
            <w:pPr>
              <w:pStyle w:val="TAH"/>
            </w:pPr>
            <w:r>
              <w:t>Remarks</w:t>
            </w:r>
          </w:p>
        </w:tc>
      </w:tr>
      <w:tr w:rsidR="002F1256">
        <w:trPr>
          <w:cantSplit/>
          <w:jc w:val="center"/>
        </w:trPr>
        <w:tc>
          <w:tcPr>
            <w:tcW w:w="1445" w:type="dxa"/>
            <w:tcBorders>
              <w:top w:val="single" w:sz="4" w:space="0" w:color="auto"/>
              <w:left w:val="single" w:sz="4" w:space="0" w:color="auto"/>
              <w:bottom w:val="single" w:sz="4" w:space="0" w:color="auto"/>
              <w:right w:val="single" w:sz="4" w:space="0" w:color="auto"/>
            </w:tcBorders>
          </w:tcPr>
          <w:p w:rsidR="002F1256" w:rsidRDefault="002F125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rsidR="002F1256" w:rsidRDefault="002F125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2F1256" w:rsidRDefault="002F125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2F1256" w:rsidRDefault="002F1256">
            <w:pPr>
              <w:pStyle w:val="Guidance"/>
              <w:spacing w:after="0"/>
            </w:pPr>
          </w:p>
        </w:tc>
      </w:tr>
      <w:tr w:rsidR="002F1256">
        <w:trPr>
          <w:cantSplit/>
          <w:jc w:val="center"/>
        </w:trPr>
        <w:tc>
          <w:tcPr>
            <w:tcW w:w="1445" w:type="dxa"/>
            <w:tcBorders>
              <w:top w:val="single" w:sz="4" w:space="0" w:color="auto"/>
              <w:left w:val="single" w:sz="4" w:space="0" w:color="auto"/>
              <w:bottom w:val="single" w:sz="4" w:space="0" w:color="auto"/>
              <w:right w:val="single" w:sz="4" w:space="0" w:color="auto"/>
            </w:tcBorders>
          </w:tcPr>
          <w:p w:rsidR="002F1256" w:rsidRDefault="002F1256">
            <w:pPr>
              <w:pStyle w:val="TAL"/>
            </w:pPr>
          </w:p>
        </w:tc>
        <w:tc>
          <w:tcPr>
            <w:tcW w:w="4344" w:type="dxa"/>
            <w:tcBorders>
              <w:top w:val="single" w:sz="4" w:space="0" w:color="auto"/>
              <w:left w:val="single" w:sz="4" w:space="0" w:color="auto"/>
              <w:bottom w:val="single" w:sz="4" w:space="0" w:color="auto"/>
              <w:right w:val="single" w:sz="4" w:space="0" w:color="auto"/>
            </w:tcBorders>
          </w:tcPr>
          <w:p w:rsidR="002F1256" w:rsidRDefault="002F1256">
            <w:pPr>
              <w:pStyle w:val="TAL"/>
            </w:pPr>
          </w:p>
        </w:tc>
        <w:tc>
          <w:tcPr>
            <w:tcW w:w="1417" w:type="dxa"/>
            <w:tcBorders>
              <w:top w:val="single" w:sz="4" w:space="0" w:color="auto"/>
              <w:left w:val="single" w:sz="4" w:space="0" w:color="auto"/>
              <w:bottom w:val="single" w:sz="4" w:space="0" w:color="auto"/>
              <w:right w:val="single" w:sz="4" w:space="0" w:color="auto"/>
            </w:tcBorders>
          </w:tcPr>
          <w:p w:rsidR="002F1256" w:rsidRDefault="002F1256">
            <w:pPr>
              <w:pStyle w:val="TAL"/>
            </w:pPr>
          </w:p>
        </w:tc>
        <w:tc>
          <w:tcPr>
            <w:tcW w:w="2101" w:type="dxa"/>
            <w:tcBorders>
              <w:top w:val="single" w:sz="4" w:space="0" w:color="auto"/>
              <w:left w:val="single" w:sz="4" w:space="0" w:color="auto"/>
              <w:bottom w:val="single" w:sz="4" w:space="0" w:color="auto"/>
              <w:right w:val="single" w:sz="4" w:space="0" w:color="auto"/>
            </w:tcBorders>
          </w:tcPr>
          <w:p w:rsidR="002F1256" w:rsidRDefault="002F1256">
            <w:pPr>
              <w:pStyle w:val="TAL"/>
            </w:pPr>
          </w:p>
        </w:tc>
      </w:tr>
    </w:tbl>
    <w:p w:rsidR="002F1256" w:rsidRDefault="002F1256"/>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rsidR="002F1256" w:rsidRDefault="002F025B">
      <w:r>
        <w:t>TBD</w:t>
      </w:r>
    </w:p>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rsidR="002F1256" w:rsidRDefault="002F025B">
      <w:pPr>
        <w:pStyle w:val="Guidance"/>
        <w:rPr>
          <w:i w:val="0"/>
        </w:rPr>
      </w:pPr>
      <w:r>
        <w:rPr>
          <w:i w:val="0"/>
        </w:rPr>
        <w:t>SA5</w:t>
      </w:r>
    </w:p>
    <w:p w:rsidR="002F1256" w:rsidRDefault="002F1256"/>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rsidR="002F1256" w:rsidRDefault="002F025B">
      <w:pPr>
        <w:overflowPunct w:val="0"/>
        <w:autoSpaceDE w:val="0"/>
        <w:autoSpaceDN w:val="0"/>
        <w:adjustRightInd w:val="0"/>
        <w:spacing w:after="180"/>
        <w:textAlignment w:val="baseline"/>
      </w:pPr>
      <w:r>
        <w:t>Co-ordination with SA1, SA2, RAN3.</w:t>
      </w:r>
    </w:p>
    <w:p w:rsidR="002F1256" w:rsidRDefault="002F1256"/>
    <w:p w:rsidR="002F1256" w:rsidRDefault="002F025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rsidR="002F1256" w:rsidRDefault="002F125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F1256">
        <w:trPr>
          <w:cantSplit/>
          <w:jc w:val="center"/>
        </w:trPr>
        <w:tc>
          <w:tcPr>
            <w:tcW w:w="5029" w:type="dxa"/>
            <w:shd w:val="clear" w:color="auto" w:fill="E0E0E0"/>
          </w:tcPr>
          <w:p w:rsidR="002F1256" w:rsidRDefault="002F025B">
            <w:pPr>
              <w:pStyle w:val="TAH"/>
            </w:pPr>
            <w:r>
              <w:t>Supporting IM name</w:t>
            </w:r>
          </w:p>
        </w:tc>
      </w:tr>
      <w:tr w:rsidR="002F1256">
        <w:trPr>
          <w:cantSplit/>
          <w:jc w:val="center"/>
        </w:trPr>
        <w:tc>
          <w:tcPr>
            <w:tcW w:w="5029" w:type="dxa"/>
            <w:shd w:val="clear" w:color="auto" w:fill="auto"/>
          </w:tcPr>
          <w:p w:rsidR="002F1256" w:rsidRDefault="002F025B">
            <w:pPr>
              <w:pStyle w:val="TAL"/>
            </w:pPr>
            <w:r>
              <w:t>China Unicom</w:t>
            </w:r>
          </w:p>
        </w:tc>
      </w:tr>
      <w:tr w:rsidR="002F1256">
        <w:trPr>
          <w:cantSplit/>
          <w:jc w:val="center"/>
        </w:trPr>
        <w:tc>
          <w:tcPr>
            <w:tcW w:w="5029" w:type="dxa"/>
            <w:shd w:val="clear" w:color="auto" w:fill="auto"/>
          </w:tcPr>
          <w:p w:rsidR="002F1256" w:rsidRDefault="002F025B">
            <w:pPr>
              <w:pStyle w:val="TAL"/>
            </w:pPr>
            <w:r>
              <w:t>ZTE Corporation</w:t>
            </w:r>
          </w:p>
        </w:tc>
      </w:tr>
      <w:tr w:rsidR="002F1256">
        <w:trPr>
          <w:cantSplit/>
          <w:jc w:val="center"/>
        </w:trPr>
        <w:tc>
          <w:tcPr>
            <w:tcW w:w="5029" w:type="dxa"/>
            <w:shd w:val="clear" w:color="auto" w:fill="auto"/>
          </w:tcPr>
          <w:p w:rsidR="002F1256" w:rsidRDefault="002F1256">
            <w:pPr>
              <w:pStyle w:val="TAL"/>
            </w:pPr>
          </w:p>
        </w:tc>
      </w:tr>
      <w:tr w:rsidR="002F1256">
        <w:trPr>
          <w:cantSplit/>
          <w:jc w:val="center"/>
        </w:trPr>
        <w:tc>
          <w:tcPr>
            <w:tcW w:w="5029" w:type="dxa"/>
            <w:shd w:val="clear" w:color="auto" w:fill="auto"/>
          </w:tcPr>
          <w:p w:rsidR="002F1256" w:rsidRDefault="002F1256">
            <w:pPr>
              <w:pStyle w:val="TAL"/>
            </w:pPr>
          </w:p>
        </w:tc>
      </w:tr>
      <w:tr w:rsidR="002F1256">
        <w:trPr>
          <w:cantSplit/>
          <w:jc w:val="center"/>
        </w:trPr>
        <w:tc>
          <w:tcPr>
            <w:tcW w:w="5029" w:type="dxa"/>
            <w:shd w:val="clear" w:color="auto" w:fill="auto"/>
          </w:tcPr>
          <w:p w:rsidR="002F1256" w:rsidRDefault="002F1256">
            <w:pPr>
              <w:pStyle w:val="TAL"/>
            </w:pPr>
          </w:p>
        </w:tc>
      </w:tr>
      <w:tr w:rsidR="002F1256">
        <w:trPr>
          <w:cantSplit/>
          <w:jc w:val="center"/>
        </w:trPr>
        <w:tc>
          <w:tcPr>
            <w:tcW w:w="5029" w:type="dxa"/>
            <w:shd w:val="clear" w:color="auto" w:fill="auto"/>
          </w:tcPr>
          <w:p w:rsidR="002F1256" w:rsidRDefault="002F1256">
            <w:pPr>
              <w:pStyle w:val="TAL"/>
            </w:pPr>
          </w:p>
        </w:tc>
      </w:tr>
    </w:tbl>
    <w:p w:rsidR="002F1256" w:rsidRDefault="002F1256"/>
    <w:p w:rsidR="002F1256" w:rsidRDefault="002F1256"/>
    <w:sectPr w:rsidR="002F125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6BE" w:rsidRDefault="00E706BE" w:rsidP="000A4BCD">
      <w:r>
        <w:separator/>
      </w:r>
    </w:p>
  </w:endnote>
  <w:endnote w:type="continuationSeparator" w:id="0">
    <w:p w:rsidR="00E706BE" w:rsidRDefault="00E706BE" w:rsidP="000A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6BE" w:rsidRDefault="00E706BE" w:rsidP="000A4BCD">
      <w:r>
        <w:separator/>
      </w:r>
    </w:p>
  </w:footnote>
  <w:footnote w:type="continuationSeparator" w:id="0">
    <w:p w:rsidR="00E706BE" w:rsidRDefault="00E706BE" w:rsidP="000A4B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3016"/>
    <w:multiLevelType w:val="multilevel"/>
    <w:tmpl w:val="017C301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10C"/>
    <w:rsid w:val="00015297"/>
    <w:rsid w:val="0002191A"/>
    <w:rsid w:val="0003016C"/>
    <w:rsid w:val="00030CD4"/>
    <w:rsid w:val="000344A1"/>
    <w:rsid w:val="00036553"/>
    <w:rsid w:val="000379A6"/>
    <w:rsid w:val="0004002B"/>
    <w:rsid w:val="00042051"/>
    <w:rsid w:val="00046686"/>
    <w:rsid w:val="00046FDD"/>
    <w:rsid w:val="000475F1"/>
    <w:rsid w:val="00050925"/>
    <w:rsid w:val="00054884"/>
    <w:rsid w:val="0005594E"/>
    <w:rsid w:val="00057E1E"/>
    <w:rsid w:val="00060A7D"/>
    <w:rsid w:val="0006182E"/>
    <w:rsid w:val="00063B5E"/>
    <w:rsid w:val="0006619D"/>
    <w:rsid w:val="000726EB"/>
    <w:rsid w:val="00072A7C"/>
    <w:rsid w:val="000775E7"/>
    <w:rsid w:val="0007775C"/>
    <w:rsid w:val="00077DD1"/>
    <w:rsid w:val="00094F23"/>
    <w:rsid w:val="000967F4"/>
    <w:rsid w:val="000A44E3"/>
    <w:rsid w:val="000A4BCD"/>
    <w:rsid w:val="000A6432"/>
    <w:rsid w:val="000A6F94"/>
    <w:rsid w:val="000B417B"/>
    <w:rsid w:val="000B5658"/>
    <w:rsid w:val="000C0225"/>
    <w:rsid w:val="000D6D78"/>
    <w:rsid w:val="000D7732"/>
    <w:rsid w:val="000E0429"/>
    <w:rsid w:val="000E0437"/>
    <w:rsid w:val="000F6E51"/>
    <w:rsid w:val="00102A24"/>
    <w:rsid w:val="00103C9A"/>
    <w:rsid w:val="001244C2"/>
    <w:rsid w:val="0013259C"/>
    <w:rsid w:val="00135831"/>
    <w:rsid w:val="001376A6"/>
    <w:rsid w:val="001424CD"/>
    <w:rsid w:val="0014389B"/>
    <w:rsid w:val="0014413C"/>
    <w:rsid w:val="00150C36"/>
    <w:rsid w:val="001535FE"/>
    <w:rsid w:val="00157F50"/>
    <w:rsid w:val="00157FFB"/>
    <w:rsid w:val="001607AE"/>
    <w:rsid w:val="00166A1B"/>
    <w:rsid w:val="00167F4A"/>
    <w:rsid w:val="00170EDB"/>
    <w:rsid w:val="00180BEA"/>
    <w:rsid w:val="00180FBE"/>
    <w:rsid w:val="00192528"/>
    <w:rsid w:val="00192B41"/>
    <w:rsid w:val="0019338C"/>
    <w:rsid w:val="00193EA6"/>
    <w:rsid w:val="00197334"/>
    <w:rsid w:val="00197E4A"/>
    <w:rsid w:val="001A2A4D"/>
    <w:rsid w:val="001A31EF"/>
    <w:rsid w:val="001A3E7E"/>
    <w:rsid w:val="001A3F74"/>
    <w:rsid w:val="001B01F1"/>
    <w:rsid w:val="001B2414"/>
    <w:rsid w:val="001B5421"/>
    <w:rsid w:val="001B650D"/>
    <w:rsid w:val="001B7B84"/>
    <w:rsid w:val="001C3073"/>
    <w:rsid w:val="001C4D9B"/>
    <w:rsid w:val="001D0B09"/>
    <w:rsid w:val="001D6F5F"/>
    <w:rsid w:val="001E151B"/>
    <w:rsid w:val="001E330C"/>
    <w:rsid w:val="001E489F"/>
    <w:rsid w:val="001E601E"/>
    <w:rsid w:val="001E6729"/>
    <w:rsid w:val="001F7653"/>
    <w:rsid w:val="002070CB"/>
    <w:rsid w:val="00207BDF"/>
    <w:rsid w:val="00221438"/>
    <w:rsid w:val="002222A4"/>
    <w:rsid w:val="00230638"/>
    <w:rsid w:val="002336A6"/>
    <w:rsid w:val="002336BF"/>
    <w:rsid w:val="002354D0"/>
    <w:rsid w:val="00235F9B"/>
    <w:rsid w:val="00236BBA"/>
    <w:rsid w:val="00236D1F"/>
    <w:rsid w:val="002407FF"/>
    <w:rsid w:val="002417E6"/>
    <w:rsid w:val="00241A03"/>
    <w:rsid w:val="00243051"/>
    <w:rsid w:val="0024492E"/>
    <w:rsid w:val="00245006"/>
    <w:rsid w:val="00250F58"/>
    <w:rsid w:val="00253892"/>
    <w:rsid w:val="002541D3"/>
    <w:rsid w:val="00256429"/>
    <w:rsid w:val="002614B8"/>
    <w:rsid w:val="0026253E"/>
    <w:rsid w:val="00272D61"/>
    <w:rsid w:val="00274E23"/>
    <w:rsid w:val="00286412"/>
    <w:rsid w:val="002919B7"/>
    <w:rsid w:val="00291EF2"/>
    <w:rsid w:val="00295D61"/>
    <w:rsid w:val="00297C1F"/>
    <w:rsid w:val="002A2017"/>
    <w:rsid w:val="002B074C"/>
    <w:rsid w:val="002B100A"/>
    <w:rsid w:val="002B2FE7"/>
    <w:rsid w:val="002B34EA"/>
    <w:rsid w:val="002B5361"/>
    <w:rsid w:val="002C1BA4"/>
    <w:rsid w:val="002C47B8"/>
    <w:rsid w:val="002D3CC6"/>
    <w:rsid w:val="002E397B"/>
    <w:rsid w:val="002E3AE2"/>
    <w:rsid w:val="002F025B"/>
    <w:rsid w:val="002F116D"/>
    <w:rsid w:val="002F1256"/>
    <w:rsid w:val="002F7CCB"/>
    <w:rsid w:val="00301992"/>
    <w:rsid w:val="00303BCC"/>
    <w:rsid w:val="003057FD"/>
    <w:rsid w:val="003101C6"/>
    <w:rsid w:val="00310E70"/>
    <w:rsid w:val="00313F3E"/>
    <w:rsid w:val="003153C5"/>
    <w:rsid w:val="00320536"/>
    <w:rsid w:val="00325E33"/>
    <w:rsid w:val="003275E6"/>
    <w:rsid w:val="00343373"/>
    <w:rsid w:val="00344945"/>
    <w:rsid w:val="00354553"/>
    <w:rsid w:val="0035479C"/>
    <w:rsid w:val="003715B7"/>
    <w:rsid w:val="00376C60"/>
    <w:rsid w:val="00392C87"/>
    <w:rsid w:val="003935E3"/>
    <w:rsid w:val="00394BA8"/>
    <w:rsid w:val="00397FB3"/>
    <w:rsid w:val="003A5FFA"/>
    <w:rsid w:val="003A664F"/>
    <w:rsid w:val="003A67E1"/>
    <w:rsid w:val="003A7108"/>
    <w:rsid w:val="003B0EE1"/>
    <w:rsid w:val="003B26D9"/>
    <w:rsid w:val="003D3657"/>
    <w:rsid w:val="003D4593"/>
    <w:rsid w:val="003E26CF"/>
    <w:rsid w:val="003E29F7"/>
    <w:rsid w:val="003E2C8B"/>
    <w:rsid w:val="003E4AC7"/>
    <w:rsid w:val="003E5604"/>
    <w:rsid w:val="003E57A1"/>
    <w:rsid w:val="003E710B"/>
    <w:rsid w:val="003F1C0E"/>
    <w:rsid w:val="004008D7"/>
    <w:rsid w:val="0040145D"/>
    <w:rsid w:val="004044E7"/>
    <w:rsid w:val="004068F3"/>
    <w:rsid w:val="00411339"/>
    <w:rsid w:val="004131BD"/>
    <w:rsid w:val="004144F4"/>
    <w:rsid w:val="00414CBA"/>
    <w:rsid w:val="00415472"/>
    <w:rsid w:val="004159BE"/>
    <w:rsid w:val="00416CEA"/>
    <w:rsid w:val="0042186D"/>
    <w:rsid w:val="00421AFD"/>
    <w:rsid w:val="004246F2"/>
    <w:rsid w:val="00430051"/>
    <w:rsid w:val="00430214"/>
    <w:rsid w:val="00432048"/>
    <w:rsid w:val="00435DCE"/>
    <w:rsid w:val="00442C65"/>
    <w:rsid w:val="00451122"/>
    <w:rsid w:val="004518DB"/>
    <w:rsid w:val="004562FC"/>
    <w:rsid w:val="00472D3A"/>
    <w:rsid w:val="00477EBC"/>
    <w:rsid w:val="00482246"/>
    <w:rsid w:val="00484421"/>
    <w:rsid w:val="00491391"/>
    <w:rsid w:val="0049173A"/>
    <w:rsid w:val="004A01BD"/>
    <w:rsid w:val="004A0A73"/>
    <w:rsid w:val="004A180A"/>
    <w:rsid w:val="004A54DD"/>
    <w:rsid w:val="004A661C"/>
    <w:rsid w:val="004A6D04"/>
    <w:rsid w:val="004C2919"/>
    <w:rsid w:val="004C4C9B"/>
    <w:rsid w:val="004D2FA0"/>
    <w:rsid w:val="004E1010"/>
    <w:rsid w:val="004F4172"/>
    <w:rsid w:val="0050202A"/>
    <w:rsid w:val="00504D2A"/>
    <w:rsid w:val="00507903"/>
    <w:rsid w:val="005151E8"/>
    <w:rsid w:val="0052032E"/>
    <w:rsid w:val="00521896"/>
    <w:rsid w:val="00522A80"/>
    <w:rsid w:val="00530472"/>
    <w:rsid w:val="00535A39"/>
    <w:rsid w:val="00544D8F"/>
    <w:rsid w:val="005469A6"/>
    <w:rsid w:val="005531D1"/>
    <w:rsid w:val="00553BDE"/>
    <w:rsid w:val="005548F4"/>
    <w:rsid w:val="00556F13"/>
    <w:rsid w:val="0056239A"/>
    <w:rsid w:val="00562495"/>
    <w:rsid w:val="0057401B"/>
    <w:rsid w:val="00577727"/>
    <w:rsid w:val="005777AF"/>
    <w:rsid w:val="00586562"/>
    <w:rsid w:val="00590B24"/>
    <w:rsid w:val="00591913"/>
    <w:rsid w:val="00593DC4"/>
    <w:rsid w:val="0059529B"/>
    <w:rsid w:val="005954DD"/>
    <w:rsid w:val="005978ED"/>
    <w:rsid w:val="005A3249"/>
    <w:rsid w:val="005A6ABC"/>
    <w:rsid w:val="005B1577"/>
    <w:rsid w:val="005B2109"/>
    <w:rsid w:val="005B35A2"/>
    <w:rsid w:val="005C0CC6"/>
    <w:rsid w:val="005C0FFC"/>
    <w:rsid w:val="005C3F71"/>
    <w:rsid w:val="005C5A03"/>
    <w:rsid w:val="005C7352"/>
    <w:rsid w:val="005D1F7E"/>
    <w:rsid w:val="005D2738"/>
    <w:rsid w:val="005D37AC"/>
    <w:rsid w:val="005D3CED"/>
    <w:rsid w:val="005D60FD"/>
    <w:rsid w:val="005E07CB"/>
    <w:rsid w:val="005E0BF8"/>
    <w:rsid w:val="005E32BB"/>
    <w:rsid w:val="005E47F0"/>
    <w:rsid w:val="005E49FF"/>
    <w:rsid w:val="005E7235"/>
    <w:rsid w:val="005F041C"/>
    <w:rsid w:val="005F2E94"/>
    <w:rsid w:val="005F4B34"/>
    <w:rsid w:val="00616E18"/>
    <w:rsid w:val="00620287"/>
    <w:rsid w:val="00623AED"/>
    <w:rsid w:val="0062580F"/>
    <w:rsid w:val="00632157"/>
    <w:rsid w:val="00632375"/>
    <w:rsid w:val="00633971"/>
    <w:rsid w:val="006341C6"/>
    <w:rsid w:val="006406AB"/>
    <w:rsid w:val="0064121E"/>
    <w:rsid w:val="00642894"/>
    <w:rsid w:val="00660354"/>
    <w:rsid w:val="006606DB"/>
    <w:rsid w:val="00665B9B"/>
    <w:rsid w:val="006713C4"/>
    <w:rsid w:val="0067616E"/>
    <w:rsid w:val="00690330"/>
    <w:rsid w:val="00690725"/>
    <w:rsid w:val="00693606"/>
    <w:rsid w:val="006936B5"/>
    <w:rsid w:val="00693D70"/>
    <w:rsid w:val="00696A33"/>
    <w:rsid w:val="006975AE"/>
    <w:rsid w:val="006A0E66"/>
    <w:rsid w:val="006A32D1"/>
    <w:rsid w:val="006A3CF5"/>
    <w:rsid w:val="006B4BC6"/>
    <w:rsid w:val="006D03E2"/>
    <w:rsid w:val="006D0A8E"/>
    <w:rsid w:val="006D1E98"/>
    <w:rsid w:val="006D3D54"/>
    <w:rsid w:val="006E0D1B"/>
    <w:rsid w:val="006E1A49"/>
    <w:rsid w:val="006E356F"/>
    <w:rsid w:val="006E3A55"/>
    <w:rsid w:val="006E3BFC"/>
    <w:rsid w:val="006F1B00"/>
    <w:rsid w:val="006F2EEB"/>
    <w:rsid w:val="006F4B7A"/>
    <w:rsid w:val="00700A59"/>
    <w:rsid w:val="00710142"/>
    <w:rsid w:val="007120A1"/>
    <w:rsid w:val="00712E81"/>
    <w:rsid w:val="00715590"/>
    <w:rsid w:val="00715B00"/>
    <w:rsid w:val="0071607A"/>
    <w:rsid w:val="007234FB"/>
    <w:rsid w:val="00723919"/>
    <w:rsid w:val="00723B93"/>
    <w:rsid w:val="00724A0B"/>
    <w:rsid w:val="007261D3"/>
    <w:rsid w:val="00727416"/>
    <w:rsid w:val="00733E86"/>
    <w:rsid w:val="00735AD6"/>
    <w:rsid w:val="00736C88"/>
    <w:rsid w:val="007405A7"/>
    <w:rsid w:val="0074596C"/>
    <w:rsid w:val="00750D12"/>
    <w:rsid w:val="00756BBB"/>
    <w:rsid w:val="00761952"/>
    <w:rsid w:val="00761B9B"/>
    <w:rsid w:val="00762474"/>
    <w:rsid w:val="0076439E"/>
    <w:rsid w:val="007814A8"/>
    <w:rsid w:val="00781A62"/>
    <w:rsid w:val="00781F2F"/>
    <w:rsid w:val="00783C0E"/>
    <w:rsid w:val="007846F8"/>
    <w:rsid w:val="007861B8"/>
    <w:rsid w:val="00787383"/>
    <w:rsid w:val="00791B51"/>
    <w:rsid w:val="00791DEE"/>
    <w:rsid w:val="00795771"/>
    <w:rsid w:val="00795AD1"/>
    <w:rsid w:val="007A1F47"/>
    <w:rsid w:val="007A7EFD"/>
    <w:rsid w:val="007B21CB"/>
    <w:rsid w:val="007B5456"/>
    <w:rsid w:val="007B5F65"/>
    <w:rsid w:val="007C767B"/>
    <w:rsid w:val="007D2EC5"/>
    <w:rsid w:val="007D3C7C"/>
    <w:rsid w:val="007D687A"/>
    <w:rsid w:val="007E0B51"/>
    <w:rsid w:val="007E1BA0"/>
    <w:rsid w:val="007F2297"/>
    <w:rsid w:val="007F2FF6"/>
    <w:rsid w:val="007F55EC"/>
    <w:rsid w:val="007F6574"/>
    <w:rsid w:val="0080111E"/>
    <w:rsid w:val="00803626"/>
    <w:rsid w:val="00813F2D"/>
    <w:rsid w:val="00831057"/>
    <w:rsid w:val="00837EF8"/>
    <w:rsid w:val="0084119C"/>
    <w:rsid w:val="00846324"/>
    <w:rsid w:val="00850CD4"/>
    <w:rsid w:val="008529DA"/>
    <w:rsid w:val="00854A49"/>
    <w:rsid w:val="008578D0"/>
    <w:rsid w:val="00861411"/>
    <w:rsid w:val="008624DE"/>
    <w:rsid w:val="008634EB"/>
    <w:rsid w:val="00866945"/>
    <w:rsid w:val="00876BD5"/>
    <w:rsid w:val="00897C84"/>
    <w:rsid w:val="008A06BE"/>
    <w:rsid w:val="008A24B6"/>
    <w:rsid w:val="008A56FD"/>
    <w:rsid w:val="008C5DF3"/>
    <w:rsid w:val="008D26FD"/>
    <w:rsid w:val="008D3DA6"/>
    <w:rsid w:val="008D5DA3"/>
    <w:rsid w:val="008E70F7"/>
    <w:rsid w:val="008F1715"/>
    <w:rsid w:val="008F1D3B"/>
    <w:rsid w:val="008F6607"/>
    <w:rsid w:val="008F7444"/>
    <w:rsid w:val="008F7A15"/>
    <w:rsid w:val="0091321C"/>
    <w:rsid w:val="00913788"/>
    <w:rsid w:val="0091399A"/>
    <w:rsid w:val="00922D75"/>
    <w:rsid w:val="00925C55"/>
    <w:rsid w:val="00926791"/>
    <w:rsid w:val="00933B9A"/>
    <w:rsid w:val="0093573E"/>
    <w:rsid w:val="0093661C"/>
    <w:rsid w:val="00940736"/>
    <w:rsid w:val="00941253"/>
    <w:rsid w:val="0095038B"/>
    <w:rsid w:val="00950CF7"/>
    <w:rsid w:val="009510EE"/>
    <w:rsid w:val="00955C09"/>
    <w:rsid w:val="00960A44"/>
    <w:rsid w:val="00970864"/>
    <w:rsid w:val="009714AB"/>
    <w:rsid w:val="009736D5"/>
    <w:rsid w:val="009768C3"/>
    <w:rsid w:val="00976A41"/>
    <w:rsid w:val="00977C43"/>
    <w:rsid w:val="0098195A"/>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3D2A"/>
    <w:rsid w:val="00A07CDB"/>
    <w:rsid w:val="00A10ADB"/>
    <w:rsid w:val="00A144AB"/>
    <w:rsid w:val="00A151A1"/>
    <w:rsid w:val="00A17F01"/>
    <w:rsid w:val="00A222A5"/>
    <w:rsid w:val="00A24557"/>
    <w:rsid w:val="00A248B2"/>
    <w:rsid w:val="00A267D7"/>
    <w:rsid w:val="00A27A64"/>
    <w:rsid w:val="00A27EC4"/>
    <w:rsid w:val="00A37F80"/>
    <w:rsid w:val="00A40CA2"/>
    <w:rsid w:val="00A413E6"/>
    <w:rsid w:val="00A46B3F"/>
    <w:rsid w:val="00A46F30"/>
    <w:rsid w:val="00A53FA4"/>
    <w:rsid w:val="00A61169"/>
    <w:rsid w:val="00A6251F"/>
    <w:rsid w:val="00A63024"/>
    <w:rsid w:val="00A65602"/>
    <w:rsid w:val="00A679B5"/>
    <w:rsid w:val="00A67A9E"/>
    <w:rsid w:val="00A8187E"/>
    <w:rsid w:val="00A82FCC"/>
    <w:rsid w:val="00A835EE"/>
    <w:rsid w:val="00A83A49"/>
    <w:rsid w:val="00A8479D"/>
    <w:rsid w:val="00A906A4"/>
    <w:rsid w:val="00A97953"/>
    <w:rsid w:val="00AA574E"/>
    <w:rsid w:val="00AD324E"/>
    <w:rsid w:val="00AD4487"/>
    <w:rsid w:val="00AD5B51"/>
    <w:rsid w:val="00AD7B78"/>
    <w:rsid w:val="00AE09E9"/>
    <w:rsid w:val="00AF4118"/>
    <w:rsid w:val="00AF53A1"/>
    <w:rsid w:val="00AF7787"/>
    <w:rsid w:val="00B00077"/>
    <w:rsid w:val="00B03107"/>
    <w:rsid w:val="00B10820"/>
    <w:rsid w:val="00B12985"/>
    <w:rsid w:val="00B16E03"/>
    <w:rsid w:val="00B1749C"/>
    <w:rsid w:val="00B26339"/>
    <w:rsid w:val="00B30214"/>
    <w:rsid w:val="00B3526C"/>
    <w:rsid w:val="00B376E0"/>
    <w:rsid w:val="00B43DA4"/>
    <w:rsid w:val="00B45C31"/>
    <w:rsid w:val="00B47534"/>
    <w:rsid w:val="00B50B89"/>
    <w:rsid w:val="00B52AFB"/>
    <w:rsid w:val="00B5557E"/>
    <w:rsid w:val="00B63284"/>
    <w:rsid w:val="00B66F68"/>
    <w:rsid w:val="00B732A5"/>
    <w:rsid w:val="00B75CE0"/>
    <w:rsid w:val="00B823A5"/>
    <w:rsid w:val="00B84B54"/>
    <w:rsid w:val="00B92B0A"/>
    <w:rsid w:val="00B92C7D"/>
    <w:rsid w:val="00B93BB2"/>
    <w:rsid w:val="00B9697B"/>
    <w:rsid w:val="00BA41DA"/>
    <w:rsid w:val="00BA46C7"/>
    <w:rsid w:val="00BA4DA4"/>
    <w:rsid w:val="00BB6D15"/>
    <w:rsid w:val="00BB7B45"/>
    <w:rsid w:val="00BC137E"/>
    <w:rsid w:val="00BC2E5F"/>
    <w:rsid w:val="00BC3C3C"/>
    <w:rsid w:val="00BC481E"/>
    <w:rsid w:val="00BC5AF6"/>
    <w:rsid w:val="00BD1211"/>
    <w:rsid w:val="00BD3369"/>
    <w:rsid w:val="00BD3E51"/>
    <w:rsid w:val="00BD6D51"/>
    <w:rsid w:val="00BE1BE3"/>
    <w:rsid w:val="00BE3E87"/>
    <w:rsid w:val="00BF0A84"/>
    <w:rsid w:val="00BF2525"/>
    <w:rsid w:val="00BF3E05"/>
    <w:rsid w:val="00BF4326"/>
    <w:rsid w:val="00C03139"/>
    <w:rsid w:val="00C03706"/>
    <w:rsid w:val="00C03F46"/>
    <w:rsid w:val="00C06C2B"/>
    <w:rsid w:val="00C159BC"/>
    <w:rsid w:val="00C15A54"/>
    <w:rsid w:val="00C2214E"/>
    <w:rsid w:val="00C232E9"/>
    <w:rsid w:val="00C23B92"/>
    <w:rsid w:val="00C247CD"/>
    <w:rsid w:val="00C2519B"/>
    <w:rsid w:val="00C272FD"/>
    <w:rsid w:val="00C278EB"/>
    <w:rsid w:val="00C3782E"/>
    <w:rsid w:val="00C404D1"/>
    <w:rsid w:val="00C42176"/>
    <w:rsid w:val="00C42344"/>
    <w:rsid w:val="00C505EB"/>
    <w:rsid w:val="00C52914"/>
    <w:rsid w:val="00C5567D"/>
    <w:rsid w:val="00C63F06"/>
    <w:rsid w:val="00C6590B"/>
    <w:rsid w:val="00C7131F"/>
    <w:rsid w:val="00C76753"/>
    <w:rsid w:val="00C8586A"/>
    <w:rsid w:val="00C92557"/>
    <w:rsid w:val="00C93A6F"/>
    <w:rsid w:val="00C95EBA"/>
    <w:rsid w:val="00CA2B4F"/>
    <w:rsid w:val="00CA5DB0"/>
    <w:rsid w:val="00CC084E"/>
    <w:rsid w:val="00CC58ED"/>
    <w:rsid w:val="00CD26FF"/>
    <w:rsid w:val="00CD783A"/>
    <w:rsid w:val="00CE37D8"/>
    <w:rsid w:val="00CE3949"/>
    <w:rsid w:val="00CF66D3"/>
    <w:rsid w:val="00D0135E"/>
    <w:rsid w:val="00D06F85"/>
    <w:rsid w:val="00D102A4"/>
    <w:rsid w:val="00D145EC"/>
    <w:rsid w:val="00D24F17"/>
    <w:rsid w:val="00D355FB"/>
    <w:rsid w:val="00D43B3C"/>
    <w:rsid w:val="00D43C0B"/>
    <w:rsid w:val="00D44A74"/>
    <w:rsid w:val="00D44B03"/>
    <w:rsid w:val="00D46206"/>
    <w:rsid w:val="00D57CD2"/>
    <w:rsid w:val="00D57E66"/>
    <w:rsid w:val="00D64DA7"/>
    <w:rsid w:val="00D7238B"/>
    <w:rsid w:val="00D73350"/>
    <w:rsid w:val="00D82231"/>
    <w:rsid w:val="00D8756E"/>
    <w:rsid w:val="00D938DD"/>
    <w:rsid w:val="00D95EAB"/>
    <w:rsid w:val="00D96BCF"/>
    <w:rsid w:val="00D974EA"/>
    <w:rsid w:val="00DA29AC"/>
    <w:rsid w:val="00DA329A"/>
    <w:rsid w:val="00DB521B"/>
    <w:rsid w:val="00DB5E87"/>
    <w:rsid w:val="00DC0F52"/>
    <w:rsid w:val="00DC4726"/>
    <w:rsid w:val="00DD0AAB"/>
    <w:rsid w:val="00DD1932"/>
    <w:rsid w:val="00DD3C66"/>
    <w:rsid w:val="00DD40D2"/>
    <w:rsid w:val="00DE5BBF"/>
    <w:rsid w:val="00DF01BE"/>
    <w:rsid w:val="00DF1EE4"/>
    <w:rsid w:val="00E00B7B"/>
    <w:rsid w:val="00E013A9"/>
    <w:rsid w:val="00E03A99"/>
    <w:rsid w:val="00E041CD"/>
    <w:rsid w:val="00E06534"/>
    <w:rsid w:val="00E126A5"/>
    <w:rsid w:val="00E1463F"/>
    <w:rsid w:val="00E34AA9"/>
    <w:rsid w:val="00E363A9"/>
    <w:rsid w:val="00E413E0"/>
    <w:rsid w:val="00E53AE3"/>
    <w:rsid w:val="00E5574A"/>
    <w:rsid w:val="00E57757"/>
    <w:rsid w:val="00E64FB2"/>
    <w:rsid w:val="00E67B7D"/>
    <w:rsid w:val="00E706BE"/>
    <w:rsid w:val="00E80DFF"/>
    <w:rsid w:val="00E81E2C"/>
    <w:rsid w:val="00E82FBF"/>
    <w:rsid w:val="00E85552"/>
    <w:rsid w:val="00E91C0F"/>
    <w:rsid w:val="00E92191"/>
    <w:rsid w:val="00E97DF8"/>
    <w:rsid w:val="00EA3869"/>
    <w:rsid w:val="00EA662E"/>
    <w:rsid w:val="00EB2EDC"/>
    <w:rsid w:val="00EB5D2F"/>
    <w:rsid w:val="00EC10EC"/>
    <w:rsid w:val="00EC456C"/>
    <w:rsid w:val="00ED1539"/>
    <w:rsid w:val="00ED166C"/>
    <w:rsid w:val="00ED5FA6"/>
    <w:rsid w:val="00ED6080"/>
    <w:rsid w:val="00EE0176"/>
    <w:rsid w:val="00EF0942"/>
    <w:rsid w:val="00EF291F"/>
    <w:rsid w:val="00F0218C"/>
    <w:rsid w:val="00F0251A"/>
    <w:rsid w:val="00F0393B"/>
    <w:rsid w:val="00F118AF"/>
    <w:rsid w:val="00F15D08"/>
    <w:rsid w:val="00F313DD"/>
    <w:rsid w:val="00F378BE"/>
    <w:rsid w:val="00F43120"/>
    <w:rsid w:val="00F4324A"/>
    <w:rsid w:val="00F44FF2"/>
    <w:rsid w:val="00F64378"/>
    <w:rsid w:val="00F67FC3"/>
    <w:rsid w:val="00F763A4"/>
    <w:rsid w:val="00F80D67"/>
    <w:rsid w:val="00F81CF2"/>
    <w:rsid w:val="00F82A04"/>
    <w:rsid w:val="00F83DF3"/>
    <w:rsid w:val="00F941B8"/>
    <w:rsid w:val="00F97C6D"/>
    <w:rsid w:val="00FA5FA5"/>
    <w:rsid w:val="00FA6721"/>
    <w:rsid w:val="00FA7365"/>
    <w:rsid w:val="00FA79A7"/>
    <w:rsid w:val="00FC643D"/>
    <w:rsid w:val="00FD1DAF"/>
    <w:rsid w:val="00FD4E7A"/>
    <w:rsid w:val="00FE0A81"/>
    <w:rsid w:val="00FE3DCC"/>
    <w:rsid w:val="00FE53C8"/>
    <w:rsid w:val="00FE5FB7"/>
    <w:rsid w:val="2C6A1D40"/>
    <w:rsid w:val="2DBB5BA6"/>
    <w:rsid w:val="300F2E8F"/>
    <w:rsid w:val="324A67B5"/>
    <w:rsid w:val="35174918"/>
    <w:rsid w:val="376E1D00"/>
    <w:rsid w:val="3D496C0D"/>
    <w:rsid w:val="43482884"/>
    <w:rsid w:val="47721A0A"/>
    <w:rsid w:val="5092056F"/>
    <w:rsid w:val="60B635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5B9A46-A5ED-4327-9573-010935C11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semiHidden/>
    <w:qFormat/>
    <w:pPr>
      <w:keepLines/>
    </w:p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qFormat/>
    <w:rPr>
      <w:color w:val="000000"/>
      <w:lang w:eastAsia="ja-JP"/>
    </w:rPr>
  </w:style>
  <w:style w:type="paragraph" w:customStyle="1" w:styleId="EditorsNote">
    <w:name w:val="Editor's Note"/>
    <w:basedOn w:val="NO"/>
    <w:link w:val="EditorsNoteChar"/>
    <w:qFormat/>
    <w:pPr>
      <w:overflowPunct/>
      <w:autoSpaceDE/>
      <w:autoSpaceDN/>
      <w:adjustRightInd/>
      <w:jc w:val="both"/>
      <w:textAlignment w:val="auto"/>
    </w:pPr>
    <w:rPr>
      <w:rFonts w:eastAsia="Malgun Gothic"/>
      <w:color w:val="FF0000"/>
      <w:lang w:val="zh-CN" w:eastAsia="en-US"/>
    </w:rPr>
  </w:style>
  <w:style w:type="character" w:customStyle="1" w:styleId="EditorsNoteChar">
    <w:name w:val="Editor's Note Char"/>
    <w:link w:val="EditorsNote"/>
    <w:qFormat/>
    <w:locked/>
    <w:rPr>
      <w:rFonts w:eastAsia="Malgun Gothic"/>
      <w:color w:val="FF0000"/>
      <w:lang w:val="zh-CN" w:eastAsia="en-US"/>
    </w:rPr>
  </w:style>
  <w:style w:type="character" w:customStyle="1" w:styleId="B1Char">
    <w:name w:val="B1 Char"/>
    <w:link w:val="B1"/>
    <w:qFormat/>
    <w:locked/>
    <w:rPr>
      <w:rFonts w:ascii="Arial" w:hAnsi="Arial"/>
      <w:lang w:eastAsia="en-US"/>
    </w:rPr>
  </w:style>
  <w:style w:type="character" w:customStyle="1" w:styleId="ztplmc">
    <w:name w:val="ztplmc"/>
    <w:basedOn w:val="DefaultParagraphFont"/>
    <w:qFormat/>
  </w:style>
  <w:style w:type="character" w:customStyle="1" w:styleId="hwtze">
    <w:name w:val="hwtze"/>
    <w:basedOn w:val="DefaultParagraphFont"/>
  </w:style>
  <w:style w:type="character" w:customStyle="1" w:styleId="rynqvb">
    <w:name w:val="rynqvb"/>
    <w:basedOn w:val="DefaultParagraphFont"/>
    <w:qFormat/>
  </w:style>
  <w:style w:type="paragraph" w:customStyle="1" w:styleId="1">
    <w:name w:val="正文1"/>
    <w:qFormat/>
    <w:rPr>
      <w:rFonts w:eastAsia="Times New Roman"/>
      <w:sz w:val="24"/>
      <w:szCs w:val="24"/>
    </w:rPr>
  </w:style>
  <w:style w:type="paragraph" w:customStyle="1" w:styleId="21">
    <w:name w:val="标题 21"/>
    <w:basedOn w:val="Normal"/>
    <w:next w:val="1"/>
    <w:pPr>
      <w:keepNext/>
      <w:spacing w:before="100" w:beforeAutospacing="1" w:after="100" w:afterAutospacing="1"/>
      <w:ind w:right="284"/>
      <w:outlineLvl w:val="1"/>
    </w:pPr>
    <w:rPr>
      <w:rFonts w:ascii="Arial" w:eastAsia="Times New Roman" w:hAnsi="Arial"/>
      <w:b/>
      <w:sz w:val="24"/>
      <w:szCs w:val="24"/>
      <w:lang w:val="en-US" w:eastAsia="zh-CN"/>
    </w:rPr>
  </w:style>
  <w:style w:type="character" w:customStyle="1" w:styleId="15">
    <w:name w:val="15"/>
    <w:basedOn w:val="DefaultParagraphFont"/>
    <w:qFormat/>
    <w:rPr>
      <w:rFonts w:ascii="Times New Roman" w:hAnsi="Times New Roman" w:cs="Times New Roman" w:hint="default"/>
      <w:i/>
      <w:iCs/>
    </w:rPr>
  </w:style>
  <w:style w:type="table" w:customStyle="1" w:styleId="10">
    <w:name w:val="普通表格1"/>
    <w:semiHidden/>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5D480-C938-4641-A52C-C2154B0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4</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ZTE202310</cp:lastModifiedBy>
  <cp:revision>10</cp:revision>
  <cp:lastPrinted>2001-04-23T09:30:00Z</cp:lastPrinted>
  <dcterms:created xsi:type="dcterms:W3CDTF">2023-10-11T10:40:00Z</dcterms:created>
  <dcterms:modified xsi:type="dcterms:W3CDTF">2023-11-03T18:17:00Z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(2)jgaqOi3UQiUP5KiR29JfOWDdj7bDO/gcvIP5lOKGAlDOZW1eDNXhrdTza9DRaFnyals4WoqU
d9DIx9bUgy6t/qyyFcTl8d+z9EP4tWiXhwPcKyaVjgYGVYcupweX/BA3Q6USC9wssQZPowHK
qun+6TGvkjU8nrXekvt0+qDRFEPQjEiDM62jrlnYBlZuHDCkDFS6sJOa+137sHnWweUgLex0
ii7A7v5sNEYrJbF4MU</vt:lpwstr>
  </property>
  <property fmtid="{D5CDD505-2E9C-101B-9397-08002B2CF9AE}" pid="4" name="_2015_ms_pID_7253431">
    <vt:lpwstr>HqgXbmHAS/d6CSSiGEZlFdCwpQglrhVpKcwpE/4AVcGLwG5I7146je
u0ApXs7MTh8A175q7jxf3Kpl5ApZIfC6bjdlUN7Gt/OC5j3jPQg8O3udAlCeUITalginX1xQ
8RFKv0H+1ooBUlcKZ6KN40AWplM3z849qDMQMygKVsuBFOJBLezu/r95RbOVSn3x6UWiDPso
nSYW01wa8ILIaHlN</vt:lpwstr>
  </property>
  <property fmtid="{D5CDD505-2E9C-101B-9397-08002B2CF9AE}" pid="5" name="KSOProductBuildVer">
    <vt:lpwstr>2052-11.8.2.12085</vt:lpwstr>
  </property>
  <property fmtid="{D5CDD505-2E9C-101B-9397-08002B2CF9AE}" pid="6" name="ICV">
    <vt:lpwstr>583340B2965A457A8BA11802FB68F511</vt:lpwstr>
  </property>
</Properties>
</file>